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-300" w:tblpY="-523"/>
        <w:tblW w:w="10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" w:type="dxa"/>
          <w:left w:w="60" w:type="dxa"/>
          <w:bottom w:w="10" w:type="dxa"/>
          <w:right w:w="60" w:type="dxa"/>
        </w:tblCellMar>
        <w:tblLook w:val="01E0"/>
      </w:tblPr>
      <w:tblGrid>
        <w:gridCol w:w="1320"/>
        <w:gridCol w:w="7200"/>
        <w:gridCol w:w="2100"/>
      </w:tblGrid>
      <w:tr w:rsidR="00BE1CFA">
        <w:tc>
          <w:tcPr>
            <w:tcW w:w="8520" w:type="dxa"/>
            <w:gridSpan w:val="2"/>
          </w:tcPr>
          <w:p w:rsidR="00095561" w:rsidRDefault="00095561" w:rsidP="00095561">
            <w:pPr>
              <w:pStyle w:val="DayTitle"/>
            </w:pPr>
            <w:r>
              <w:t>Math CAMPPP 2011: Proportional Reasoning – Breakout #3</w:t>
            </w:r>
          </w:p>
          <w:p w:rsidR="00095561" w:rsidRDefault="00095561" w:rsidP="00ED0E98">
            <w:pPr>
              <w:pStyle w:val="DayTitle"/>
            </w:pPr>
            <w:r>
              <w:t>Responding To Students Over Time</w:t>
            </w:r>
          </w:p>
        </w:tc>
        <w:tc>
          <w:tcPr>
            <w:tcW w:w="2100" w:type="dxa"/>
            <w:vAlign w:val="bottom"/>
          </w:tcPr>
          <w:p w:rsidR="00BE1CFA" w:rsidRPr="00936161" w:rsidRDefault="00095561" w:rsidP="00ED0E98">
            <w:pPr>
              <w:pStyle w:val="GradeTitle"/>
            </w:pPr>
            <w:r>
              <w:t>Breakout 9-12</w:t>
            </w:r>
          </w:p>
        </w:tc>
      </w:tr>
      <w:tr w:rsidR="00BE1CFA">
        <w:trPr>
          <w:trHeight w:val="1152"/>
        </w:trPr>
        <w:tc>
          <w:tcPr>
            <w:tcW w:w="1320" w:type="dxa"/>
          </w:tcPr>
          <w:p w:rsidR="00106153" w:rsidRPr="00F14DB4" w:rsidRDefault="00106153" w:rsidP="00ED0E98">
            <w:pPr>
              <w:pStyle w:val="timetext"/>
              <w:rPr>
                <w:lang w:val="fr-FR"/>
              </w:rPr>
            </w:pPr>
          </w:p>
          <w:p w:rsidR="00562F52" w:rsidRPr="00425427" w:rsidRDefault="00904EF1" w:rsidP="00ED0E98">
            <w:pPr>
              <w:pStyle w:val="timetext"/>
              <w:rPr>
                <w:lang w:val="fr-FR"/>
              </w:rPr>
            </w:pPr>
            <w:r>
              <w:rPr>
                <w:lang w:val="fr-FR"/>
              </w:rPr>
              <w:t>MO:20</w:t>
            </w:r>
            <w:r w:rsidR="00562F52" w:rsidRPr="00425427">
              <w:rPr>
                <w:lang w:val="fr-FR"/>
              </w:rPr>
              <w:t xml:space="preserve"> min</w:t>
            </w:r>
          </w:p>
          <w:p w:rsidR="00562F52" w:rsidRDefault="00562F52" w:rsidP="00ED0E98">
            <w:pPr>
              <w:pStyle w:val="timetext"/>
              <w:rPr>
                <w:lang w:val="fr-FR"/>
              </w:rPr>
            </w:pPr>
            <w:r w:rsidRPr="00425427">
              <w:rPr>
                <w:lang w:val="fr-FR"/>
              </w:rPr>
              <w:t>A:</w:t>
            </w:r>
            <w:r w:rsidR="00941FF2">
              <w:rPr>
                <w:lang w:val="fr-FR"/>
              </w:rPr>
              <w:t>80</w:t>
            </w:r>
            <w:r w:rsidR="00425427" w:rsidRPr="00425427">
              <w:rPr>
                <w:lang w:val="fr-FR"/>
              </w:rPr>
              <w:t xml:space="preserve"> min</w:t>
            </w:r>
          </w:p>
          <w:p w:rsidR="006C7FE5" w:rsidRPr="00FE2B66" w:rsidRDefault="006C7FE5" w:rsidP="00FE2B66">
            <w:pPr>
              <w:pStyle w:val="timetext"/>
              <w:jc w:val="left"/>
              <w:rPr>
                <w:sz w:val="18"/>
                <w:szCs w:val="18"/>
                <w:lang w:val="fr-FR"/>
              </w:rPr>
            </w:pPr>
            <w:r w:rsidRPr="00FE2B66">
              <w:rPr>
                <w:sz w:val="18"/>
                <w:szCs w:val="18"/>
                <w:lang w:val="fr-FR"/>
              </w:rPr>
              <w:t>(30+</w:t>
            </w:r>
            <w:r w:rsidR="00FE2B66" w:rsidRPr="00FE2B66">
              <w:rPr>
                <w:sz w:val="18"/>
                <w:szCs w:val="18"/>
                <w:lang w:val="fr-FR"/>
              </w:rPr>
              <w:t>1</w:t>
            </w:r>
            <w:r w:rsidR="00941FF2" w:rsidRPr="00FE2B66">
              <w:rPr>
                <w:sz w:val="18"/>
                <w:szCs w:val="18"/>
                <w:lang w:val="fr-FR"/>
              </w:rPr>
              <w:t>5</w:t>
            </w:r>
            <w:r w:rsidR="00FE2B66" w:rsidRPr="00FE2B66">
              <w:rPr>
                <w:sz w:val="18"/>
                <w:szCs w:val="18"/>
                <w:lang w:val="fr-FR"/>
              </w:rPr>
              <w:t>+20</w:t>
            </w:r>
            <w:r w:rsidR="004274AF" w:rsidRPr="00FE2B66">
              <w:rPr>
                <w:sz w:val="18"/>
                <w:szCs w:val="18"/>
                <w:lang w:val="fr-FR"/>
              </w:rPr>
              <w:t>+1</w:t>
            </w:r>
            <w:r w:rsidR="00FE2B66" w:rsidRPr="00FE2B66">
              <w:rPr>
                <w:sz w:val="18"/>
                <w:szCs w:val="18"/>
                <w:lang w:val="fr-FR"/>
              </w:rPr>
              <w:t>5</w:t>
            </w:r>
            <w:r w:rsidR="004274AF" w:rsidRPr="00FE2B66">
              <w:rPr>
                <w:sz w:val="18"/>
                <w:szCs w:val="18"/>
                <w:lang w:val="fr-FR"/>
              </w:rPr>
              <w:t>)</w:t>
            </w:r>
          </w:p>
          <w:p w:rsidR="00562F52" w:rsidRDefault="00562F52" w:rsidP="00ED0E98">
            <w:pPr>
              <w:pStyle w:val="timetext"/>
              <w:rPr>
                <w:lang w:val="fr-FR"/>
              </w:rPr>
            </w:pPr>
            <w:r w:rsidRPr="00425427">
              <w:rPr>
                <w:lang w:val="fr-FR"/>
              </w:rPr>
              <w:t>C:</w:t>
            </w:r>
            <w:r w:rsidR="00941FF2">
              <w:rPr>
                <w:lang w:val="fr-FR"/>
              </w:rPr>
              <w:t>20</w:t>
            </w:r>
            <w:r w:rsidR="00425427">
              <w:rPr>
                <w:lang w:val="fr-FR"/>
              </w:rPr>
              <w:t xml:space="preserve"> min</w:t>
            </w:r>
          </w:p>
          <w:p w:rsidR="00C0188C" w:rsidRPr="00C0188C" w:rsidRDefault="00C0188C" w:rsidP="00ED0E98">
            <w:pPr>
              <w:pStyle w:val="timetext"/>
              <w:rPr>
                <w:sz w:val="18"/>
                <w:szCs w:val="18"/>
                <w:lang w:val="fr-FR"/>
              </w:rPr>
            </w:pPr>
            <w:r w:rsidRPr="00C0188C">
              <w:rPr>
                <w:sz w:val="18"/>
                <w:szCs w:val="18"/>
                <w:lang w:val="fr-FR"/>
              </w:rPr>
              <w:t>(15+5)</w:t>
            </w:r>
          </w:p>
          <w:p w:rsidR="00106153" w:rsidRDefault="00106153" w:rsidP="00ED0E98">
            <w:pPr>
              <w:pStyle w:val="timetext"/>
              <w:rPr>
                <w:lang w:val="fr-FR"/>
              </w:rPr>
            </w:pPr>
          </w:p>
          <w:p w:rsidR="00BE1CFA" w:rsidRPr="00425427" w:rsidRDefault="006A7841" w:rsidP="00ED0E98">
            <w:pPr>
              <w:pStyle w:val="timetext"/>
              <w:rPr>
                <w:lang w:val="fr-FR"/>
              </w:rPr>
            </w:pPr>
            <w:r w:rsidRPr="00425427">
              <w:rPr>
                <w:lang w:val="fr-FR"/>
              </w:rPr>
              <w:t>12</w:t>
            </w:r>
            <w:r w:rsidR="00562F52" w:rsidRPr="00425427">
              <w:rPr>
                <w:lang w:val="fr-FR"/>
              </w:rPr>
              <w:t>0</w:t>
            </w:r>
            <w:r w:rsidR="00BE1CFA" w:rsidRPr="00425427">
              <w:rPr>
                <w:lang w:val="fr-FR"/>
              </w:rPr>
              <w:t xml:space="preserve"> min</w:t>
            </w:r>
          </w:p>
        </w:tc>
        <w:tc>
          <w:tcPr>
            <w:tcW w:w="7200" w:type="dxa"/>
          </w:tcPr>
          <w:p w:rsidR="00BE1CFA" w:rsidRDefault="00BE1CFA" w:rsidP="00ED0E98">
            <w:pPr>
              <w:pStyle w:val="DayTableSubHead"/>
            </w:pPr>
            <w:r>
              <w:t>Math Learning Goals</w:t>
            </w:r>
          </w:p>
          <w:p w:rsidR="0076656F" w:rsidRDefault="0003142E" w:rsidP="0003142E">
            <w:pPr>
              <w:numPr>
                <w:ilvl w:val="0"/>
                <w:numId w:val="9"/>
              </w:numPr>
              <w:tabs>
                <w:tab w:val="clear" w:pos="720"/>
              </w:tabs>
              <w:ind w:left="357" w:hanging="357"/>
              <w:rPr>
                <w:color w:val="000000"/>
                <w:sz w:val="20"/>
                <w:szCs w:val="20"/>
                <w:lang w:val="en-US"/>
              </w:rPr>
            </w:pPr>
            <w:r w:rsidRPr="003C1721">
              <w:rPr>
                <w:b/>
                <w:color w:val="000000"/>
                <w:sz w:val="20"/>
                <w:szCs w:val="20"/>
                <w:lang w:val="en-US"/>
              </w:rPr>
              <w:t>Responding</w:t>
            </w:r>
            <w:r w:rsidR="00B31240">
              <w:rPr>
                <w:color w:val="000000"/>
                <w:sz w:val="20"/>
                <w:szCs w:val="20"/>
                <w:lang w:val="en-US"/>
              </w:rPr>
              <w:t xml:space="preserve">: 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Consider </w:t>
            </w:r>
            <w:r w:rsidRPr="007F4C51">
              <w:rPr>
                <w:color w:val="000000"/>
                <w:sz w:val="20"/>
                <w:szCs w:val="20"/>
                <w:lang w:val="en-US"/>
              </w:rPr>
              <w:t xml:space="preserve">the various </w:t>
            </w:r>
            <w:r>
              <w:rPr>
                <w:color w:val="000000"/>
                <w:sz w:val="20"/>
                <w:szCs w:val="20"/>
                <w:lang w:val="en-US"/>
              </w:rPr>
              <w:t>criteria (lenses) through which we assess</w:t>
            </w:r>
            <w:r w:rsidRPr="007F4C51">
              <w:rPr>
                <w:color w:val="000000"/>
                <w:sz w:val="20"/>
                <w:szCs w:val="20"/>
                <w:lang w:val="en-US"/>
              </w:rPr>
              <w:t xml:space="preserve"> student work (Achievement Chart Categories, Mathematical Processes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, </w:t>
            </w:r>
            <w:r w:rsidR="0076656F">
              <w:rPr>
                <w:color w:val="000000"/>
                <w:sz w:val="20"/>
                <w:szCs w:val="20"/>
                <w:lang w:val="en-US"/>
              </w:rPr>
              <w:t>Generalization/Justification)</w:t>
            </w:r>
          </w:p>
          <w:p w:rsidR="0003142E" w:rsidRDefault="0003142E" w:rsidP="0003142E">
            <w:pPr>
              <w:numPr>
                <w:ilvl w:val="0"/>
                <w:numId w:val="9"/>
              </w:numPr>
              <w:tabs>
                <w:tab w:val="clear" w:pos="720"/>
              </w:tabs>
              <w:ind w:left="357" w:hanging="357"/>
              <w:rPr>
                <w:color w:val="000000"/>
                <w:sz w:val="20"/>
                <w:szCs w:val="20"/>
                <w:lang w:val="en-US"/>
              </w:rPr>
            </w:pPr>
            <w:r w:rsidRPr="00FA7ABE">
              <w:rPr>
                <w:b/>
                <w:color w:val="000000"/>
                <w:sz w:val="20"/>
                <w:szCs w:val="20"/>
                <w:lang w:val="en-US"/>
              </w:rPr>
              <w:t>Responding</w:t>
            </w:r>
            <w:r w:rsidR="00B31240">
              <w:rPr>
                <w:color w:val="000000"/>
                <w:sz w:val="20"/>
                <w:szCs w:val="20"/>
                <w:lang w:val="en-US"/>
              </w:rPr>
              <w:t xml:space="preserve">: Understand the importance 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of shared teacher/ student understanding </w:t>
            </w:r>
            <w:r w:rsidR="00B31240">
              <w:rPr>
                <w:color w:val="000000"/>
                <w:sz w:val="20"/>
                <w:szCs w:val="20"/>
                <w:lang w:val="en-US"/>
              </w:rPr>
              <w:t xml:space="preserve">of </w:t>
            </w:r>
            <w:r>
              <w:rPr>
                <w:color w:val="000000"/>
                <w:sz w:val="20"/>
                <w:szCs w:val="20"/>
                <w:lang w:val="en-US"/>
              </w:rPr>
              <w:t>assessment criteria</w:t>
            </w:r>
            <w:r w:rsidR="00B31240">
              <w:rPr>
                <w:color w:val="000000"/>
                <w:sz w:val="20"/>
                <w:szCs w:val="20"/>
                <w:lang w:val="en-US"/>
              </w:rPr>
              <w:t>.</w:t>
            </w:r>
          </w:p>
          <w:p w:rsidR="0003142E" w:rsidRDefault="0003142E" w:rsidP="0003142E">
            <w:pPr>
              <w:numPr>
                <w:ilvl w:val="0"/>
                <w:numId w:val="9"/>
              </w:numPr>
              <w:tabs>
                <w:tab w:val="clear" w:pos="720"/>
              </w:tabs>
              <w:ind w:left="357" w:hanging="357"/>
              <w:rPr>
                <w:color w:val="000000"/>
                <w:sz w:val="20"/>
                <w:szCs w:val="20"/>
                <w:lang w:val="en-US"/>
              </w:rPr>
            </w:pPr>
            <w:r w:rsidRPr="00FA7ABE">
              <w:rPr>
                <w:b/>
                <w:color w:val="000000"/>
                <w:sz w:val="20"/>
                <w:szCs w:val="20"/>
                <w:lang w:val="en-US"/>
              </w:rPr>
              <w:t>Responding</w:t>
            </w:r>
            <w:r w:rsidR="00B31240">
              <w:rPr>
                <w:color w:val="000000"/>
                <w:sz w:val="20"/>
                <w:szCs w:val="20"/>
                <w:lang w:val="en-US"/>
              </w:rPr>
              <w:t xml:space="preserve">: </w:t>
            </w:r>
            <w:r>
              <w:rPr>
                <w:color w:val="000000"/>
                <w:sz w:val="20"/>
                <w:szCs w:val="20"/>
                <w:lang w:val="en-US"/>
              </w:rPr>
              <w:t>Reflect on personal assessment criteria</w:t>
            </w:r>
            <w:r w:rsidR="00B31240">
              <w:rPr>
                <w:color w:val="000000"/>
                <w:sz w:val="20"/>
                <w:szCs w:val="20"/>
                <w:lang w:val="en-US"/>
              </w:rPr>
              <w:t>.</w:t>
            </w:r>
          </w:p>
          <w:p w:rsidR="0003142E" w:rsidRPr="0003142E" w:rsidRDefault="0003142E" w:rsidP="0003142E">
            <w:pPr>
              <w:numPr>
                <w:ilvl w:val="0"/>
                <w:numId w:val="9"/>
              </w:numPr>
              <w:tabs>
                <w:tab w:val="clear" w:pos="720"/>
              </w:tabs>
              <w:ind w:left="357" w:hanging="357"/>
              <w:rPr>
                <w:color w:val="000000"/>
                <w:sz w:val="20"/>
                <w:szCs w:val="20"/>
                <w:lang w:val="en-US"/>
              </w:rPr>
            </w:pPr>
            <w:r w:rsidRPr="0003142E">
              <w:rPr>
                <w:b/>
                <w:sz w:val="20"/>
                <w:szCs w:val="20"/>
                <w:lang w:val="en-US"/>
              </w:rPr>
              <w:t>Responding</w:t>
            </w:r>
            <w:r w:rsidR="00B31240">
              <w:rPr>
                <w:sz w:val="20"/>
                <w:szCs w:val="20"/>
                <w:lang w:val="en-US"/>
              </w:rPr>
              <w:t xml:space="preserve">: </w:t>
            </w:r>
            <w:r w:rsidRPr="0003142E">
              <w:rPr>
                <w:sz w:val="20"/>
                <w:szCs w:val="20"/>
                <w:lang w:val="en-US"/>
              </w:rPr>
              <w:t>Recognize that criteria are contextual</w:t>
            </w:r>
            <w:r w:rsidR="00B31240">
              <w:rPr>
                <w:sz w:val="20"/>
                <w:szCs w:val="20"/>
                <w:lang w:val="en-US"/>
              </w:rPr>
              <w:t>.</w:t>
            </w:r>
          </w:p>
          <w:p w:rsidR="00DA0282" w:rsidRPr="0003142E" w:rsidRDefault="0003142E" w:rsidP="0003142E">
            <w:pPr>
              <w:numPr>
                <w:ilvl w:val="0"/>
                <w:numId w:val="9"/>
              </w:numPr>
              <w:tabs>
                <w:tab w:val="clear" w:pos="720"/>
              </w:tabs>
              <w:ind w:left="357" w:hanging="357"/>
              <w:rPr>
                <w:color w:val="000000"/>
                <w:sz w:val="20"/>
                <w:szCs w:val="20"/>
                <w:lang w:val="en-US"/>
              </w:rPr>
            </w:pPr>
            <w:r w:rsidRPr="0003142E">
              <w:rPr>
                <w:b/>
                <w:sz w:val="20"/>
                <w:szCs w:val="20"/>
                <w:lang w:val="en-US"/>
              </w:rPr>
              <w:t>Responding</w:t>
            </w:r>
            <w:r w:rsidRPr="0003142E">
              <w:rPr>
                <w:sz w:val="20"/>
                <w:szCs w:val="20"/>
                <w:lang w:val="en-US"/>
              </w:rPr>
              <w:t>: Practice responding by looking at student samples through a variety of lenses.</w:t>
            </w:r>
          </w:p>
        </w:tc>
        <w:tc>
          <w:tcPr>
            <w:tcW w:w="2100" w:type="dxa"/>
          </w:tcPr>
          <w:p w:rsidR="00BE1CFA" w:rsidRDefault="00BE1CFA" w:rsidP="00ED0E98">
            <w:pPr>
              <w:pStyle w:val="MaterialHead"/>
            </w:pPr>
            <w:r>
              <w:t>Materials</w:t>
            </w:r>
          </w:p>
          <w:p w:rsidR="00BE1CFA" w:rsidRPr="00F14DB4" w:rsidRDefault="004D7B81" w:rsidP="00ED0E98">
            <w:pPr>
              <w:pStyle w:val="MaterialBullet"/>
              <w:rPr>
                <w:sz w:val="16"/>
                <w:szCs w:val="16"/>
              </w:rPr>
            </w:pPr>
            <w:smartTag w:uri="urn:schemas-microsoft-com:office:smarttags" w:element="stockticker">
              <w:r w:rsidRPr="00F14DB4">
                <w:rPr>
                  <w:sz w:val="16"/>
                  <w:szCs w:val="16"/>
                </w:rPr>
                <w:t>BLM</w:t>
              </w:r>
            </w:smartTag>
            <w:r w:rsidRPr="00F14DB4">
              <w:rPr>
                <w:sz w:val="16"/>
                <w:szCs w:val="16"/>
              </w:rPr>
              <w:t xml:space="preserve"> </w:t>
            </w:r>
            <w:r w:rsidR="00904EF1" w:rsidRPr="00F14DB4">
              <w:rPr>
                <w:sz w:val="16"/>
                <w:szCs w:val="16"/>
              </w:rPr>
              <w:t>PR</w:t>
            </w:r>
            <w:r w:rsidR="00562F52" w:rsidRPr="00F14DB4">
              <w:rPr>
                <w:sz w:val="16"/>
                <w:szCs w:val="16"/>
              </w:rPr>
              <w:t>3.1 The Clapping Game</w:t>
            </w:r>
          </w:p>
          <w:p w:rsidR="00BD296D" w:rsidRPr="00F14DB4" w:rsidRDefault="00BD296D" w:rsidP="00ED0E98">
            <w:pPr>
              <w:pStyle w:val="MaterialBullet"/>
              <w:rPr>
                <w:sz w:val="16"/>
                <w:szCs w:val="16"/>
              </w:rPr>
            </w:pPr>
            <w:smartTag w:uri="urn:schemas-microsoft-com:office:smarttags" w:element="stockticker">
              <w:r w:rsidRPr="00F14DB4">
                <w:rPr>
                  <w:sz w:val="16"/>
                  <w:szCs w:val="16"/>
                </w:rPr>
                <w:t>BLM</w:t>
              </w:r>
            </w:smartTag>
            <w:r w:rsidRPr="00F14DB4">
              <w:rPr>
                <w:sz w:val="16"/>
                <w:szCs w:val="16"/>
              </w:rPr>
              <w:t xml:space="preserve"> PR3.2 Gen</w:t>
            </w:r>
            <w:r w:rsidR="0077684C" w:rsidRPr="00F14DB4">
              <w:rPr>
                <w:sz w:val="16"/>
                <w:szCs w:val="16"/>
              </w:rPr>
              <w:t xml:space="preserve">eralization </w:t>
            </w:r>
            <w:r w:rsidRPr="00F14DB4">
              <w:rPr>
                <w:sz w:val="16"/>
                <w:szCs w:val="16"/>
              </w:rPr>
              <w:t>Strategies</w:t>
            </w:r>
            <w:r w:rsidR="0077684C" w:rsidRPr="00F14DB4">
              <w:rPr>
                <w:sz w:val="16"/>
                <w:szCs w:val="16"/>
              </w:rPr>
              <w:t xml:space="preserve"> &amp;</w:t>
            </w:r>
            <w:r w:rsidR="00F14DB4">
              <w:rPr>
                <w:sz w:val="16"/>
                <w:szCs w:val="16"/>
              </w:rPr>
              <w:t xml:space="preserve"> </w:t>
            </w:r>
            <w:r w:rsidR="0077684C" w:rsidRPr="00F14DB4">
              <w:rPr>
                <w:sz w:val="16"/>
                <w:szCs w:val="16"/>
              </w:rPr>
              <w:t>J</w:t>
            </w:r>
            <w:r w:rsidRPr="00F14DB4">
              <w:rPr>
                <w:sz w:val="16"/>
                <w:szCs w:val="16"/>
              </w:rPr>
              <w:t>ustification F</w:t>
            </w:r>
            <w:r w:rsidR="0077684C" w:rsidRPr="00F14DB4">
              <w:rPr>
                <w:sz w:val="16"/>
                <w:szCs w:val="16"/>
              </w:rPr>
              <w:t>ramew</w:t>
            </w:r>
            <w:r w:rsidR="00F14DB4">
              <w:rPr>
                <w:sz w:val="16"/>
                <w:szCs w:val="16"/>
              </w:rPr>
              <w:t>or</w:t>
            </w:r>
            <w:r w:rsidR="0077684C" w:rsidRPr="00F14DB4">
              <w:rPr>
                <w:sz w:val="16"/>
                <w:szCs w:val="16"/>
              </w:rPr>
              <w:t>k</w:t>
            </w:r>
          </w:p>
          <w:p w:rsidR="00A36450" w:rsidRPr="00F14DB4" w:rsidRDefault="00A36450" w:rsidP="00ED0E98">
            <w:pPr>
              <w:pStyle w:val="MaterialBullet"/>
              <w:rPr>
                <w:sz w:val="16"/>
                <w:szCs w:val="16"/>
              </w:rPr>
            </w:pPr>
            <w:r w:rsidRPr="00F14DB4">
              <w:rPr>
                <w:sz w:val="16"/>
                <w:szCs w:val="16"/>
              </w:rPr>
              <w:t>Copies of Ge</w:t>
            </w:r>
            <w:r w:rsidR="00B16AA8" w:rsidRPr="00F14DB4">
              <w:rPr>
                <w:sz w:val="16"/>
                <w:szCs w:val="16"/>
              </w:rPr>
              <w:t>neric Rubric for Math Processes</w:t>
            </w:r>
          </w:p>
          <w:p w:rsidR="00CE759C" w:rsidRPr="00F14DB4" w:rsidRDefault="004D7B81" w:rsidP="00ED0E98">
            <w:pPr>
              <w:pStyle w:val="MaterialBullet"/>
              <w:rPr>
                <w:sz w:val="16"/>
                <w:szCs w:val="16"/>
              </w:rPr>
            </w:pPr>
            <w:smartTag w:uri="urn:schemas-microsoft-com:office:smarttags" w:element="stockticker">
              <w:r w:rsidRPr="00F14DB4">
                <w:rPr>
                  <w:sz w:val="16"/>
                  <w:szCs w:val="16"/>
                </w:rPr>
                <w:t>BLM</w:t>
              </w:r>
            </w:smartTag>
            <w:r w:rsidRPr="00F14DB4">
              <w:rPr>
                <w:sz w:val="16"/>
                <w:szCs w:val="16"/>
              </w:rPr>
              <w:t xml:space="preserve"> </w:t>
            </w:r>
            <w:r w:rsidR="007A6CC4" w:rsidRPr="00F14DB4">
              <w:rPr>
                <w:sz w:val="16"/>
                <w:szCs w:val="16"/>
              </w:rPr>
              <w:t>PR3.3</w:t>
            </w:r>
            <w:r w:rsidR="00CE759C" w:rsidRPr="00F14DB4">
              <w:rPr>
                <w:sz w:val="16"/>
                <w:szCs w:val="16"/>
              </w:rPr>
              <w:t xml:space="preserve"> Recording Sheet</w:t>
            </w:r>
          </w:p>
          <w:p w:rsidR="00ED0E98" w:rsidRPr="00F14DB4" w:rsidRDefault="00ED0E98" w:rsidP="00ED0E98">
            <w:pPr>
              <w:pStyle w:val="MaterialBullet"/>
              <w:rPr>
                <w:sz w:val="16"/>
                <w:szCs w:val="16"/>
              </w:rPr>
            </w:pPr>
            <w:r w:rsidRPr="00F14DB4">
              <w:rPr>
                <w:sz w:val="16"/>
                <w:szCs w:val="16"/>
              </w:rPr>
              <w:t>chart paper and markers</w:t>
            </w:r>
          </w:p>
          <w:p w:rsidR="005D48DC" w:rsidRPr="00F14DB4" w:rsidRDefault="005D48DC" w:rsidP="00ED0E98">
            <w:pPr>
              <w:pStyle w:val="MaterialBullet"/>
              <w:rPr>
                <w:sz w:val="16"/>
                <w:szCs w:val="16"/>
              </w:rPr>
            </w:pPr>
            <w:proofErr w:type="spellStart"/>
            <w:r w:rsidRPr="00F14DB4">
              <w:rPr>
                <w:sz w:val="16"/>
                <w:szCs w:val="16"/>
              </w:rPr>
              <w:t>powerpoint</w:t>
            </w:r>
            <w:proofErr w:type="spellEnd"/>
          </w:p>
          <w:p w:rsidR="00F14DB4" w:rsidRDefault="00F14DB4" w:rsidP="00ED0E98">
            <w:pPr>
              <w:pStyle w:val="MaterialBullet"/>
            </w:pPr>
            <w:r w:rsidRPr="00F14DB4">
              <w:rPr>
                <w:sz w:val="16"/>
                <w:szCs w:val="16"/>
              </w:rPr>
              <w:t>Student Samples (4)</w:t>
            </w:r>
          </w:p>
        </w:tc>
      </w:tr>
      <w:tr w:rsidR="00BE1CFA">
        <w:trPr>
          <w:trHeight w:val="105"/>
        </w:trPr>
        <w:tc>
          <w:tcPr>
            <w:tcW w:w="1320" w:type="dxa"/>
            <w:shd w:val="clear" w:color="auto" w:fill="669900"/>
          </w:tcPr>
          <w:p w:rsidR="00BE1CFA" w:rsidRDefault="00BE1CFA" w:rsidP="00ED0E98">
            <w:pPr>
              <w:pStyle w:val="MindsOn"/>
            </w:pPr>
          </w:p>
        </w:tc>
        <w:tc>
          <w:tcPr>
            <w:tcW w:w="7200" w:type="dxa"/>
            <w:vMerge w:val="restart"/>
          </w:tcPr>
          <w:p w:rsidR="00562F52" w:rsidRPr="00562F52" w:rsidRDefault="00562F52" w:rsidP="00ED0E98">
            <w:pPr>
              <w:pStyle w:val="DayTableBullet"/>
              <w:numPr>
                <w:ilvl w:val="0"/>
                <w:numId w:val="0"/>
              </w:numPr>
              <w:rPr>
                <w:rFonts w:ascii="Arial" w:hAnsi="Arial" w:cs="Arial"/>
                <w:b/>
              </w:rPr>
            </w:pPr>
            <w:r w:rsidRPr="00562F52">
              <w:rPr>
                <w:rFonts w:ascii="Arial" w:hAnsi="Arial" w:cs="Arial"/>
                <w:b/>
              </w:rPr>
              <w:t xml:space="preserve">Whole Class </w:t>
            </w:r>
            <w:r w:rsidRPr="00562F52">
              <w:rPr>
                <w:rFonts w:ascii="Arial" w:hAnsi="Arial" w:cs="Arial"/>
                <w:b/>
              </w:rPr>
              <w:sym w:font="Wingdings" w:char="F0E0"/>
            </w:r>
            <w:r w:rsidR="006A7841">
              <w:rPr>
                <w:rFonts w:ascii="Arial" w:hAnsi="Arial" w:cs="Arial"/>
                <w:b/>
              </w:rPr>
              <w:t xml:space="preserve"> The Clapping Game </w:t>
            </w:r>
          </w:p>
          <w:p w:rsidR="00BE1CFA" w:rsidRDefault="00562F52" w:rsidP="00ED0E98">
            <w:pPr>
              <w:pStyle w:val="DayTableSubHead"/>
              <w:rPr>
                <w:rFonts w:ascii="Times New Roman" w:hAnsi="Times New Roman"/>
                <w:b w:val="0"/>
                <w:u w:val="none"/>
              </w:rPr>
            </w:pPr>
            <w:r>
              <w:rPr>
                <w:rFonts w:ascii="Times New Roman" w:hAnsi="Times New Roman"/>
                <w:b w:val="0"/>
                <w:u w:val="none"/>
              </w:rPr>
              <w:t xml:space="preserve">Choose 3 volunteers to act as the clappers and 3 volunteers to act as the </w:t>
            </w:r>
            <w:r w:rsidR="00904EF1">
              <w:rPr>
                <w:rFonts w:ascii="Times New Roman" w:hAnsi="Times New Roman"/>
                <w:b w:val="0"/>
                <w:u w:val="none"/>
              </w:rPr>
              <w:t xml:space="preserve">assessors.  </w:t>
            </w:r>
            <w:r>
              <w:rPr>
                <w:rFonts w:ascii="Times New Roman" w:hAnsi="Times New Roman"/>
                <w:b w:val="0"/>
                <w:u w:val="none"/>
              </w:rPr>
              <w:t xml:space="preserve">Use the instructions on </w:t>
            </w:r>
            <w:smartTag w:uri="urn:schemas-microsoft-com:office:smarttags" w:element="stockticker">
              <w:r>
                <w:rPr>
                  <w:rFonts w:ascii="Times New Roman" w:hAnsi="Times New Roman"/>
                  <w:b w:val="0"/>
                  <w:u w:val="none"/>
                </w:rPr>
                <w:t>BLM</w:t>
              </w:r>
            </w:smartTag>
            <w:r>
              <w:rPr>
                <w:rFonts w:ascii="Times New Roman" w:hAnsi="Times New Roman"/>
                <w:b w:val="0"/>
                <w:u w:val="none"/>
              </w:rPr>
              <w:t xml:space="preserve"> </w:t>
            </w:r>
            <w:r w:rsidR="00904EF1">
              <w:rPr>
                <w:rFonts w:ascii="Times New Roman" w:hAnsi="Times New Roman"/>
                <w:b w:val="0"/>
                <w:u w:val="none"/>
              </w:rPr>
              <w:t>PR</w:t>
            </w:r>
            <w:r>
              <w:rPr>
                <w:rFonts w:ascii="Times New Roman" w:hAnsi="Times New Roman"/>
                <w:b w:val="0"/>
                <w:u w:val="none"/>
              </w:rPr>
              <w:t>3.1 The Clapping Game to complete the activity.</w:t>
            </w:r>
            <w:r w:rsidR="00CA1E51">
              <w:rPr>
                <w:rFonts w:ascii="Times New Roman" w:hAnsi="Times New Roman"/>
                <w:b w:val="0"/>
                <w:u w:val="none"/>
              </w:rPr>
              <w:t xml:space="preserve"> </w:t>
            </w:r>
            <w:r w:rsidR="00904EF1">
              <w:rPr>
                <w:rFonts w:ascii="Times New Roman" w:hAnsi="Times New Roman"/>
                <w:b w:val="0"/>
                <w:u w:val="none"/>
              </w:rPr>
              <w:t xml:space="preserve"> Ti</w:t>
            </w:r>
            <w:r w:rsidR="003A0049">
              <w:rPr>
                <w:rFonts w:ascii="Times New Roman" w:hAnsi="Times New Roman"/>
                <w:b w:val="0"/>
                <w:u w:val="none"/>
              </w:rPr>
              <w:t>me for debriefing</w:t>
            </w:r>
            <w:r w:rsidR="00904EF1">
              <w:rPr>
                <w:rFonts w:ascii="Times New Roman" w:hAnsi="Times New Roman"/>
                <w:b w:val="0"/>
                <w:u w:val="none"/>
              </w:rPr>
              <w:t xml:space="preserve"> is included in the instructions on the </w:t>
            </w:r>
            <w:smartTag w:uri="urn:schemas-microsoft-com:office:smarttags" w:element="stockticker">
              <w:r w:rsidR="00904EF1">
                <w:rPr>
                  <w:rFonts w:ascii="Times New Roman" w:hAnsi="Times New Roman"/>
                  <w:b w:val="0"/>
                  <w:u w:val="none"/>
                </w:rPr>
                <w:t>BLM</w:t>
              </w:r>
            </w:smartTag>
            <w:r w:rsidR="00904EF1">
              <w:rPr>
                <w:rFonts w:ascii="Times New Roman" w:hAnsi="Times New Roman"/>
                <w:b w:val="0"/>
                <w:u w:val="none"/>
              </w:rPr>
              <w:t xml:space="preserve"> handout.</w:t>
            </w:r>
          </w:p>
          <w:p w:rsidR="00746594" w:rsidRPr="00904EF1" w:rsidRDefault="00746594" w:rsidP="00F14DB4">
            <w:pPr>
              <w:pStyle w:val="DayTableBullet"/>
              <w:numPr>
                <w:ilvl w:val="0"/>
                <w:numId w:val="0"/>
              </w:numPr>
            </w:pPr>
          </w:p>
        </w:tc>
        <w:tc>
          <w:tcPr>
            <w:tcW w:w="2100" w:type="dxa"/>
            <w:vMerge w:val="restart"/>
            <w:shd w:val="clear" w:color="auto" w:fill="auto"/>
          </w:tcPr>
          <w:p w:rsidR="005D464B" w:rsidRPr="00F14DB4" w:rsidRDefault="003A0049" w:rsidP="00ED0E98">
            <w:pPr>
              <w:pStyle w:val="SideBarText"/>
              <w:rPr>
                <w:szCs w:val="16"/>
              </w:rPr>
            </w:pPr>
            <w:r w:rsidRPr="00F14DB4">
              <w:rPr>
                <w:rFonts w:ascii="Times New Roman" w:hAnsi="Times New Roman"/>
                <w:szCs w:val="16"/>
              </w:rPr>
              <w:t xml:space="preserve">The purpose of this activity is to highlight the importance of sharing the criteria for assessment </w:t>
            </w:r>
            <w:r w:rsidRPr="00FA5023">
              <w:rPr>
                <w:rFonts w:ascii="Times New Roman" w:hAnsi="Times New Roman"/>
                <w:i/>
                <w:szCs w:val="16"/>
              </w:rPr>
              <w:t>prior to</w:t>
            </w:r>
            <w:r w:rsidRPr="00F14DB4">
              <w:rPr>
                <w:rFonts w:ascii="Times New Roman" w:hAnsi="Times New Roman"/>
                <w:szCs w:val="16"/>
              </w:rPr>
              <w:t xml:space="preserve"> the assessment.</w:t>
            </w:r>
          </w:p>
        </w:tc>
      </w:tr>
      <w:tr w:rsidR="00BE1CFA">
        <w:trPr>
          <w:trHeight w:val="105"/>
        </w:trPr>
        <w:tc>
          <w:tcPr>
            <w:tcW w:w="1320" w:type="dxa"/>
            <w:shd w:val="clear" w:color="auto" w:fill="auto"/>
          </w:tcPr>
          <w:p w:rsidR="00BE1CFA" w:rsidRPr="00FE7C57" w:rsidRDefault="00BE1CFA" w:rsidP="00ED0E98">
            <w:pPr>
              <w:pStyle w:val="MindsOn"/>
              <w:rPr>
                <w:szCs w:val="20"/>
              </w:rPr>
            </w:pPr>
            <w:r w:rsidRPr="00FE7C57">
              <w:rPr>
                <w:szCs w:val="20"/>
              </w:rPr>
              <w:t>Minds On…</w:t>
            </w:r>
          </w:p>
        </w:tc>
        <w:tc>
          <w:tcPr>
            <w:tcW w:w="7200" w:type="dxa"/>
            <w:vMerge/>
          </w:tcPr>
          <w:p w:rsidR="00BE1CFA" w:rsidRDefault="00BE1CFA" w:rsidP="00ED0E98">
            <w:pPr>
              <w:pStyle w:val="DayTableSubHead"/>
            </w:pPr>
          </w:p>
        </w:tc>
        <w:tc>
          <w:tcPr>
            <w:tcW w:w="2100" w:type="dxa"/>
            <w:vMerge/>
          </w:tcPr>
          <w:p w:rsidR="00BE1CFA" w:rsidRDefault="00BE1CFA" w:rsidP="00ED0E98">
            <w:pPr>
              <w:pStyle w:val="SideBarText"/>
            </w:pPr>
          </w:p>
        </w:tc>
      </w:tr>
      <w:tr w:rsidR="00BE1CFA">
        <w:trPr>
          <w:trHeight w:hRule="exact" w:val="576"/>
        </w:trPr>
        <w:tc>
          <w:tcPr>
            <w:tcW w:w="1320" w:type="dxa"/>
            <w:shd w:val="clear" w:color="auto" w:fill="auto"/>
            <w:vAlign w:val="center"/>
          </w:tcPr>
          <w:p w:rsidR="00BE1CFA" w:rsidRDefault="00BE1CFA" w:rsidP="00ED0E98">
            <w:pPr>
              <w:pStyle w:val="SideBarText"/>
            </w:pPr>
          </w:p>
        </w:tc>
        <w:tc>
          <w:tcPr>
            <w:tcW w:w="7200" w:type="dxa"/>
            <w:vMerge/>
          </w:tcPr>
          <w:p w:rsidR="00BE1CFA" w:rsidRDefault="00BE1CFA" w:rsidP="00ED0E98">
            <w:pPr>
              <w:pStyle w:val="DayTableSubHead"/>
            </w:pPr>
          </w:p>
        </w:tc>
        <w:tc>
          <w:tcPr>
            <w:tcW w:w="2100" w:type="dxa"/>
            <w:vMerge/>
          </w:tcPr>
          <w:p w:rsidR="00BE1CFA" w:rsidRDefault="00BE1CFA" w:rsidP="00ED0E98">
            <w:pPr>
              <w:pStyle w:val="SideBarText"/>
            </w:pPr>
          </w:p>
        </w:tc>
      </w:tr>
      <w:tr w:rsidR="00BE1CFA">
        <w:trPr>
          <w:trHeight w:val="105"/>
        </w:trPr>
        <w:tc>
          <w:tcPr>
            <w:tcW w:w="1320" w:type="dxa"/>
            <w:shd w:val="clear" w:color="auto" w:fill="FF0000"/>
          </w:tcPr>
          <w:p w:rsidR="00BE1CFA" w:rsidRDefault="00BE1CFA" w:rsidP="00ED0E98">
            <w:pPr>
              <w:pStyle w:val="Action"/>
            </w:pPr>
          </w:p>
        </w:tc>
        <w:tc>
          <w:tcPr>
            <w:tcW w:w="7200" w:type="dxa"/>
            <w:vMerge w:val="restart"/>
          </w:tcPr>
          <w:p w:rsidR="00645FFB" w:rsidRPr="00C24134" w:rsidRDefault="00C24134" w:rsidP="00ED0E98">
            <w:pPr>
              <w:pStyle w:val="DayTableSubHead"/>
              <w:rPr>
                <w:b w:val="0"/>
                <w:u w:val="none"/>
              </w:rPr>
            </w:pPr>
            <w:r w:rsidRPr="00C24134">
              <w:rPr>
                <w:u w:val="none"/>
              </w:rPr>
              <w:t>Groups of 4</w:t>
            </w:r>
            <w:r>
              <w:rPr>
                <w:b w:val="0"/>
                <w:u w:val="none"/>
              </w:rPr>
              <w:t xml:space="preserve"> </w:t>
            </w:r>
            <w:r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Expert Groups </w:t>
            </w:r>
          </w:p>
          <w:p w:rsidR="00CE759C" w:rsidRDefault="00727EFA" w:rsidP="00ED0E98">
            <w:pPr>
              <w:pStyle w:val="DayTableTextwSpace"/>
            </w:pPr>
            <w:r>
              <w:t xml:space="preserve">Explain </w:t>
            </w:r>
            <w:r w:rsidR="00CB17ED">
              <w:t xml:space="preserve">that </w:t>
            </w:r>
            <w:r w:rsidR="009C3D4C">
              <w:t xml:space="preserve">participants </w:t>
            </w:r>
            <w:r>
              <w:t>will be viewing student work and practicing “responding to students over time”.</w:t>
            </w:r>
            <w:r w:rsidR="00CB17ED">
              <w:t xml:space="preserve"> </w:t>
            </w:r>
            <w:r w:rsidR="00A36450">
              <w:t>Expert G</w:t>
            </w:r>
            <w:r>
              <w:t xml:space="preserve">roups of 4 </w:t>
            </w:r>
            <w:r w:rsidR="00497218">
              <w:t xml:space="preserve">will be formed </w:t>
            </w:r>
            <w:r w:rsidR="00B32058">
              <w:t>a</w:t>
            </w:r>
            <w:r>
              <w:t>nd each group will look</w:t>
            </w:r>
            <w:r w:rsidR="008D7A33">
              <w:t xml:space="preserve"> at </w:t>
            </w:r>
            <w:r>
              <w:t>student work through a different lens</w:t>
            </w:r>
            <w:r w:rsidR="009C3D4C">
              <w:t xml:space="preserve"> related to the Achievement Chart and the Mathematical Processes</w:t>
            </w:r>
            <w:r w:rsidR="008D7A33">
              <w:t xml:space="preserve"> (see note at side)</w:t>
            </w:r>
            <w:r w:rsidR="009C3D4C">
              <w:t>.</w:t>
            </w:r>
            <w:r>
              <w:t xml:space="preserve">  </w:t>
            </w:r>
            <w:r w:rsidR="00CB17ED">
              <w:t>E</w:t>
            </w:r>
            <w:r w:rsidR="00A36450">
              <w:t xml:space="preserve">ach group will also look at the work through the lenses of </w:t>
            </w:r>
            <w:r w:rsidR="008D7A33">
              <w:t>“</w:t>
            </w:r>
            <w:r w:rsidR="002C178F">
              <w:t>Justification</w:t>
            </w:r>
            <w:r w:rsidR="008D7A33">
              <w:t>”</w:t>
            </w:r>
            <w:r w:rsidR="002C178F">
              <w:t xml:space="preserve"> </w:t>
            </w:r>
            <w:r w:rsidR="00A36450">
              <w:t xml:space="preserve">and </w:t>
            </w:r>
            <w:r w:rsidR="008D7A33">
              <w:t>“</w:t>
            </w:r>
            <w:r w:rsidR="00A36450">
              <w:t>Generalization Strategies</w:t>
            </w:r>
            <w:r w:rsidR="008D7A33">
              <w:t>”</w:t>
            </w:r>
            <w:r w:rsidR="00A36450">
              <w:t xml:space="preserve"> from the work of </w:t>
            </w:r>
            <w:r w:rsidR="002C178F">
              <w:t>Cathy Bruce and Ruth Beatty</w:t>
            </w:r>
            <w:r w:rsidR="00A36450">
              <w:t xml:space="preserve">. </w:t>
            </w:r>
            <w:r w:rsidR="008D7A33">
              <w:t xml:space="preserve"> </w:t>
            </w:r>
            <w:r w:rsidR="00A36450">
              <w:t>Number off participants (1</w:t>
            </w:r>
            <w:proofErr w:type="gramStart"/>
            <w:r w:rsidR="00A36450">
              <w:t>,2,3</w:t>
            </w:r>
            <w:proofErr w:type="gramEnd"/>
            <w:r w:rsidR="00A36450">
              <w:t xml:space="preserve">) to create Expert Groups.  Subdivide Expert Groups into smaller groups of </w:t>
            </w:r>
            <w:r w:rsidR="00CB17ED">
              <w:t xml:space="preserve">about </w:t>
            </w:r>
            <w:r w:rsidR="00A36450">
              <w:t>4</w:t>
            </w:r>
            <w:r w:rsidR="009C3D4C">
              <w:t xml:space="preserve"> if necessary</w:t>
            </w:r>
            <w:r w:rsidR="00B32058">
              <w:t xml:space="preserve"> (there may be more than 1 Expert Group for each lens.) </w:t>
            </w:r>
            <w:r w:rsidR="009C3D4C">
              <w:t>Provide cop</w:t>
            </w:r>
            <w:r w:rsidR="008D7A33">
              <w:t xml:space="preserve">ies of </w:t>
            </w:r>
            <w:smartTag w:uri="urn:schemas-microsoft-com:office:smarttags" w:element="stockticker">
              <w:r w:rsidR="009C3D4C">
                <w:t>BLM</w:t>
              </w:r>
            </w:smartTag>
            <w:r w:rsidR="009C3D4C">
              <w:t xml:space="preserve"> PR3.2 </w:t>
            </w:r>
            <w:r w:rsidR="00CB17ED">
              <w:t xml:space="preserve">to every participant as well a copy of the appropriate section of the generic Math </w:t>
            </w:r>
            <w:r w:rsidR="009C3D4C">
              <w:t>Processes rubric</w:t>
            </w:r>
            <w:r w:rsidR="00497218">
              <w:t xml:space="preserve"> to each group</w:t>
            </w:r>
            <w:r w:rsidR="009C3D4C">
              <w:t xml:space="preserve">. </w:t>
            </w:r>
            <w:r w:rsidR="007A6CC4">
              <w:t xml:space="preserve">Provide each participant with a copy of </w:t>
            </w:r>
            <w:smartTag w:uri="urn:schemas-microsoft-com:office:smarttags" w:element="stockticker">
              <w:r w:rsidR="007A6CC4">
                <w:t>BLM</w:t>
              </w:r>
            </w:smartTag>
            <w:r w:rsidR="007A6CC4">
              <w:t xml:space="preserve"> PR3.3</w:t>
            </w:r>
            <w:r w:rsidR="00B32058">
              <w:t xml:space="preserve"> for recording their feedback</w:t>
            </w:r>
            <w:r w:rsidR="007A6CC4">
              <w:t xml:space="preserve">. Allow approximately 20 minutes for each group to examine their criteria and record “Important Things to Consider” on </w:t>
            </w:r>
            <w:smartTag w:uri="urn:schemas-microsoft-com:office:smarttags" w:element="stockticker">
              <w:r w:rsidR="007A6CC4">
                <w:t>BLM</w:t>
              </w:r>
            </w:smartTag>
            <w:r w:rsidR="007A6CC4">
              <w:t xml:space="preserve"> PR3.3. </w:t>
            </w:r>
            <w:r w:rsidR="006C7FE5">
              <w:t xml:space="preserve">(Total time to complete this part including </w:t>
            </w:r>
            <w:r w:rsidR="006B2B05">
              <w:t>forming groups/</w:t>
            </w:r>
            <w:r w:rsidR="006C7FE5">
              <w:t>providing instructions will be approximately 30 minutes).</w:t>
            </w:r>
          </w:p>
          <w:p w:rsidR="00645FFB" w:rsidRPr="007C0B84" w:rsidRDefault="007C0B84" w:rsidP="00ED0E98">
            <w:pPr>
              <w:pStyle w:val="DayTableTextwSpace"/>
              <w:rPr>
                <w:color w:val="FF0000"/>
              </w:rPr>
            </w:pPr>
            <w:r w:rsidRPr="007C0B84">
              <w:rPr>
                <w:color w:val="FF0000"/>
              </w:rPr>
              <w:t xml:space="preserve">Allow </w:t>
            </w:r>
            <w:r w:rsidR="0055449E">
              <w:rPr>
                <w:color w:val="FF0000"/>
              </w:rPr>
              <w:t>participants</w:t>
            </w:r>
            <w:r w:rsidRPr="007C0B84">
              <w:rPr>
                <w:color w:val="FF0000"/>
              </w:rPr>
              <w:t xml:space="preserve"> to </w:t>
            </w:r>
            <w:r w:rsidR="008D7A33">
              <w:rPr>
                <w:color w:val="FF0000"/>
              </w:rPr>
              <w:t xml:space="preserve">switch </w:t>
            </w:r>
            <w:r w:rsidR="002F6075">
              <w:rPr>
                <w:color w:val="FF0000"/>
              </w:rPr>
              <w:t xml:space="preserve">with another person </w:t>
            </w:r>
            <w:r w:rsidR="008D7A33">
              <w:rPr>
                <w:color w:val="FF0000"/>
              </w:rPr>
              <w:t xml:space="preserve">if they </w:t>
            </w:r>
            <w:r w:rsidR="002F6075">
              <w:rPr>
                <w:color w:val="FF0000"/>
              </w:rPr>
              <w:t xml:space="preserve">prefer </w:t>
            </w:r>
            <w:r w:rsidR="008D7A33">
              <w:rPr>
                <w:color w:val="FF0000"/>
              </w:rPr>
              <w:t>a different lens.</w:t>
            </w:r>
          </w:p>
          <w:p w:rsidR="00D42402" w:rsidRPr="00D42402" w:rsidRDefault="00D42402" w:rsidP="00ED0E98">
            <w:pPr>
              <w:pStyle w:val="DayTableTextwSpace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Cs w:val="20"/>
              </w:rPr>
              <w:t>Individual</w:t>
            </w:r>
            <w:r w:rsidRPr="00D42402">
              <w:rPr>
                <w:rFonts w:ascii="Arial" w:hAnsi="Arial" w:cs="Arial"/>
                <w:b/>
              </w:rPr>
              <w:t xml:space="preserve"> </w:t>
            </w:r>
            <w:r w:rsidRPr="00D42402">
              <w:rPr>
                <w:rFonts w:ascii="Arial" w:hAnsi="Arial" w:cs="Arial"/>
              </w:rPr>
              <w:sym w:font="Wingdings" w:char="F0E0"/>
            </w:r>
            <w:r w:rsidRPr="00D42402">
              <w:rPr>
                <w:rFonts w:ascii="Arial" w:hAnsi="Arial" w:cs="Arial"/>
              </w:rPr>
              <w:t xml:space="preserve"> </w:t>
            </w:r>
            <w:r w:rsidRPr="00D42402">
              <w:rPr>
                <w:rFonts w:ascii="Arial" w:hAnsi="Arial" w:cs="Arial"/>
                <w:b/>
              </w:rPr>
              <w:t>Writing Feedback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:rsidR="00CE759C" w:rsidRDefault="00CE759C" w:rsidP="00ED0E98">
            <w:pPr>
              <w:pStyle w:val="DayTableTextwSpace"/>
            </w:pPr>
            <w:r>
              <w:t xml:space="preserve">Each </w:t>
            </w:r>
            <w:r w:rsidR="007A6CC4">
              <w:t>Expert G</w:t>
            </w:r>
            <w:r>
              <w:t xml:space="preserve">roup will receive </w:t>
            </w:r>
            <w:r w:rsidR="008A0CC0" w:rsidRPr="008A0CC0">
              <w:rPr>
                <w:b/>
                <w:color w:val="FF3399"/>
              </w:rPr>
              <w:t>ONE</w:t>
            </w:r>
            <w:r w:rsidR="008A0CC0">
              <w:t xml:space="preserve"> (</w:t>
            </w:r>
            <w:r>
              <w:t>the same</w:t>
            </w:r>
            <w:r w:rsidR="008A0CC0">
              <w:t>)</w:t>
            </w:r>
            <w:r>
              <w:t xml:space="preserve"> set of 4 student samples that have be</w:t>
            </w:r>
            <w:r w:rsidR="007A6CC4">
              <w:t>en numbered for identification as Sample 1, Sample 2, Sample 3 and Sample 4.</w:t>
            </w:r>
          </w:p>
          <w:p w:rsidR="00FA5023" w:rsidRDefault="00CE759C" w:rsidP="006B2B05">
            <w:pPr>
              <w:pStyle w:val="DayTableTextwSpace"/>
              <w:numPr>
                <w:ilvl w:val="0"/>
                <w:numId w:val="13"/>
              </w:numPr>
            </w:pPr>
            <w:r>
              <w:t xml:space="preserve">Participants will </w:t>
            </w:r>
            <w:r w:rsidRPr="00D42402">
              <w:rPr>
                <w:u w:val="single"/>
              </w:rPr>
              <w:t>individually</w:t>
            </w:r>
            <w:r w:rsidRPr="00D42402">
              <w:t xml:space="preserve"> </w:t>
            </w:r>
            <w:r>
              <w:t>look at one piece of work at a time and record</w:t>
            </w:r>
            <w:r w:rsidR="007A6CC4">
              <w:t xml:space="preserve"> their feedback</w:t>
            </w:r>
            <w:r w:rsidR="00D42402">
              <w:t xml:space="preserve"> on </w:t>
            </w:r>
            <w:smartTag w:uri="urn:schemas-microsoft-com:office:smarttags" w:element="stockticker">
              <w:r w:rsidR="00D42402">
                <w:t>BLM</w:t>
              </w:r>
            </w:smartTag>
            <w:r w:rsidR="00D42402">
              <w:t xml:space="preserve"> PR3.3</w:t>
            </w:r>
            <w:r w:rsidR="007A6CC4">
              <w:t>, based on their group’s lens</w:t>
            </w:r>
          </w:p>
          <w:p w:rsidR="00CE759C" w:rsidRDefault="00052B75" w:rsidP="006B2B05">
            <w:pPr>
              <w:pStyle w:val="DayTableTextwSpace"/>
              <w:numPr>
                <w:ilvl w:val="0"/>
                <w:numId w:val="13"/>
              </w:numPr>
            </w:pPr>
            <w:r>
              <w:t xml:space="preserve">Pass samples </w:t>
            </w:r>
            <w:r w:rsidR="00CE759C">
              <w:t>one to the right until everyone has examined all 4 samples.</w:t>
            </w:r>
          </w:p>
          <w:p w:rsidR="00D42402" w:rsidRPr="008A0CC0" w:rsidRDefault="00D42402" w:rsidP="00D42402">
            <w:pPr>
              <w:pStyle w:val="DayTableTextwSpace"/>
              <w:rPr>
                <w:rFonts w:ascii="Arial" w:hAnsi="Arial" w:cs="Arial"/>
                <w:color w:val="FF3399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Groups of 4 </w:t>
            </w:r>
            <w:r w:rsidRPr="00D42402">
              <w:rPr>
                <w:rFonts w:ascii="Arial" w:hAnsi="Arial" w:cs="Arial"/>
              </w:rPr>
              <w:sym w:font="Wingdings" w:char="F0E0"/>
            </w:r>
            <w:r w:rsidRPr="00D4240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>Round Robin</w:t>
            </w:r>
            <w:r w:rsidR="008A0CC0">
              <w:rPr>
                <w:rFonts w:ascii="Arial" w:hAnsi="Arial" w:cs="Arial"/>
                <w:b/>
              </w:rPr>
              <w:t xml:space="preserve">  </w:t>
            </w:r>
            <w:r w:rsidR="008A0CC0">
              <w:rPr>
                <w:rFonts w:ascii="Arial" w:hAnsi="Arial" w:cs="Arial"/>
                <w:b/>
                <w:color w:val="FF3399"/>
              </w:rPr>
              <w:t xml:space="preserve">I am unsure of how this will go – I think of round robin play in sports and it isn’t working for me here </w:t>
            </w:r>
            <w:r w:rsidR="00E63BDB">
              <w:rPr>
                <w:rFonts w:ascii="Arial" w:hAnsi="Arial" w:cs="Arial"/>
                <w:b/>
                <w:color w:val="FF3399"/>
              </w:rPr>
              <w:t>–</w:t>
            </w:r>
            <w:r w:rsidR="008A0CC0">
              <w:rPr>
                <w:rFonts w:ascii="Arial" w:hAnsi="Arial" w:cs="Arial"/>
                <w:b/>
                <w:color w:val="FF3399"/>
              </w:rPr>
              <w:t xml:space="preserve"> </w:t>
            </w:r>
            <w:r w:rsidR="00E63BDB">
              <w:rPr>
                <w:rFonts w:ascii="Arial" w:hAnsi="Arial" w:cs="Arial"/>
                <w:b/>
                <w:color w:val="FF3399"/>
              </w:rPr>
              <w:t>are they just to share their thoughts about the feedback – is the name round robin correct here?</w:t>
            </w:r>
          </w:p>
          <w:p w:rsidR="00493364" w:rsidRDefault="00D42402" w:rsidP="006B2B05">
            <w:pPr>
              <w:pStyle w:val="DayTableTextwSpace"/>
              <w:numPr>
                <w:ilvl w:val="0"/>
                <w:numId w:val="14"/>
              </w:numPr>
            </w:pPr>
            <w:r>
              <w:t xml:space="preserve">Provide each group with 4 half sheets of chart paper. </w:t>
            </w:r>
            <w:r w:rsidR="00CE759C">
              <w:t>Participants will use a R</w:t>
            </w:r>
            <w:r w:rsidR="00ED0E98">
              <w:t xml:space="preserve">ound Robin to debrief and decide on their </w:t>
            </w:r>
            <w:r w:rsidR="00CE759C">
              <w:t>‘consensu</w:t>
            </w:r>
            <w:r w:rsidR="00ED0E98">
              <w:t xml:space="preserve">s feedback’ for each sample. </w:t>
            </w:r>
            <w:r>
              <w:t>R</w:t>
            </w:r>
            <w:r w:rsidR="00824E03">
              <w:t>ecord 1 or 2 key pieces of c</w:t>
            </w:r>
            <w:r w:rsidR="00ED0E98">
              <w:t xml:space="preserve">onsensus feedback on </w:t>
            </w:r>
            <w:r w:rsidR="006B2B05">
              <w:t xml:space="preserve">the </w:t>
            </w:r>
            <w:r>
              <w:t>half sheet of chart paper for each sample.  Post the half sheets beside the student samples.</w:t>
            </w:r>
          </w:p>
          <w:p w:rsidR="004274AF" w:rsidRPr="00D42402" w:rsidRDefault="004274AF" w:rsidP="004274AF">
            <w:pPr>
              <w:pStyle w:val="DayTableTextwSpace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Groups of 3 </w:t>
            </w:r>
            <w:r w:rsidRPr="00D42402">
              <w:rPr>
                <w:rFonts w:ascii="Arial" w:hAnsi="Arial" w:cs="Arial"/>
              </w:rPr>
              <w:sym w:font="Wingdings" w:char="F0E0"/>
            </w:r>
            <w:r w:rsidRPr="00D42402">
              <w:rPr>
                <w:rFonts w:ascii="Arial" w:hAnsi="Arial" w:cs="Arial"/>
              </w:rPr>
              <w:t xml:space="preserve"> </w:t>
            </w:r>
            <w:r w:rsidRPr="004274AF">
              <w:rPr>
                <w:rFonts w:ascii="Arial" w:hAnsi="Arial" w:cs="Arial"/>
                <w:b/>
              </w:rPr>
              <w:t>Gallery Walk</w:t>
            </w:r>
          </w:p>
          <w:p w:rsidR="00687732" w:rsidRPr="00F7344D" w:rsidRDefault="00066D44" w:rsidP="00F14DB4">
            <w:pPr>
              <w:pStyle w:val="DayTableTextwSpace"/>
            </w:pPr>
            <w:r>
              <w:t>Re</w:t>
            </w:r>
            <w:r w:rsidR="00F14DB4">
              <w:t>-</w:t>
            </w:r>
            <w:r>
              <w:t xml:space="preserve">form new groups of 3 (Jigsaw), by taking one person from each Expert Group to be in the new group.  </w:t>
            </w:r>
            <w:r w:rsidR="00F14DB4">
              <w:t xml:space="preserve">Jigsaw groups </w:t>
            </w:r>
            <w:r>
              <w:t xml:space="preserve">will complete a gallery walk.  As they look at each sample, jigsaw members will share their insights </w:t>
            </w:r>
            <w:r w:rsidR="00F14DB4">
              <w:t>based on their Expert Group lens</w:t>
            </w:r>
            <w:r>
              <w:t>.</w:t>
            </w:r>
          </w:p>
        </w:tc>
        <w:tc>
          <w:tcPr>
            <w:tcW w:w="2100" w:type="dxa"/>
            <w:vMerge w:val="restart"/>
            <w:shd w:val="clear" w:color="auto" w:fill="auto"/>
          </w:tcPr>
          <w:p w:rsidR="005D464B" w:rsidRPr="00D42402" w:rsidRDefault="005D464B" w:rsidP="005D464B">
            <w:pPr>
              <w:rPr>
                <w:sz w:val="18"/>
                <w:szCs w:val="18"/>
              </w:rPr>
            </w:pPr>
          </w:p>
          <w:p w:rsidR="009C3D4C" w:rsidRPr="00F14DB4" w:rsidRDefault="009C3D4C" w:rsidP="005D464B">
            <w:pPr>
              <w:rPr>
                <w:sz w:val="16"/>
                <w:szCs w:val="16"/>
              </w:rPr>
            </w:pPr>
            <w:r w:rsidRPr="00F14DB4">
              <w:rPr>
                <w:sz w:val="16"/>
                <w:szCs w:val="16"/>
                <w:u w:val="single"/>
              </w:rPr>
              <w:t>Lens 1:</w:t>
            </w:r>
            <w:r w:rsidRPr="00F14DB4">
              <w:rPr>
                <w:sz w:val="16"/>
                <w:szCs w:val="16"/>
              </w:rPr>
              <w:t xml:space="preserve"> Communication (Representing, Communicating)</w:t>
            </w:r>
          </w:p>
          <w:p w:rsidR="009C3D4C" w:rsidRPr="00F14DB4" w:rsidRDefault="009C3D4C" w:rsidP="005D464B">
            <w:pPr>
              <w:rPr>
                <w:sz w:val="16"/>
                <w:szCs w:val="16"/>
              </w:rPr>
            </w:pPr>
            <w:r w:rsidRPr="00F14DB4">
              <w:rPr>
                <w:sz w:val="16"/>
                <w:szCs w:val="16"/>
                <w:u w:val="single"/>
              </w:rPr>
              <w:t>Lens 2:</w:t>
            </w:r>
            <w:r w:rsidRPr="00F14DB4">
              <w:rPr>
                <w:sz w:val="16"/>
                <w:szCs w:val="16"/>
              </w:rPr>
              <w:t xml:space="preserve"> Application and Knowledge (Selecting Tools and Strategies, Connecting)</w:t>
            </w:r>
          </w:p>
          <w:p w:rsidR="009C3D4C" w:rsidRPr="00F14DB4" w:rsidRDefault="009C3D4C" w:rsidP="005D464B">
            <w:pPr>
              <w:rPr>
                <w:sz w:val="16"/>
                <w:szCs w:val="16"/>
              </w:rPr>
            </w:pPr>
            <w:r w:rsidRPr="00F14DB4">
              <w:rPr>
                <w:sz w:val="16"/>
                <w:szCs w:val="16"/>
                <w:u w:val="single"/>
              </w:rPr>
              <w:t>Lens 3:</w:t>
            </w:r>
            <w:r w:rsidRPr="00F14DB4">
              <w:rPr>
                <w:sz w:val="16"/>
                <w:szCs w:val="16"/>
              </w:rPr>
              <w:t xml:space="preserve"> Thinking (Reasoning and Proving, Problem Solving, Reflecting)</w:t>
            </w:r>
          </w:p>
          <w:p w:rsidR="009C3D4C" w:rsidRPr="00F14DB4" w:rsidRDefault="009C3D4C" w:rsidP="005D464B">
            <w:pPr>
              <w:rPr>
                <w:sz w:val="18"/>
                <w:szCs w:val="18"/>
                <w:u w:val="single"/>
              </w:rPr>
            </w:pPr>
          </w:p>
          <w:p w:rsidR="00FF0F96" w:rsidRPr="00D42402" w:rsidRDefault="00FF0F96" w:rsidP="005D464B">
            <w:pPr>
              <w:rPr>
                <w:sz w:val="18"/>
                <w:szCs w:val="18"/>
              </w:rPr>
            </w:pPr>
            <w:r w:rsidRPr="00F14DB4">
              <w:rPr>
                <w:sz w:val="16"/>
                <w:szCs w:val="16"/>
                <w:u w:val="single"/>
              </w:rPr>
              <w:t>Note</w:t>
            </w:r>
            <w:r w:rsidRPr="00F14DB4">
              <w:rPr>
                <w:sz w:val="16"/>
                <w:szCs w:val="16"/>
              </w:rPr>
              <w:t xml:space="preserve">: The generic </w:t>
            </w:r>
            <w:r w:rsidR="00F14DB4">
              <w:rPr>
                <w:sz w:val="16"/>
                <w:szCs w:val="16"/>
              </w:rPr>
              <w:t>Mathematical Processes R</w:t>
            </w:r>
            <w:r w:rsidRPr="00F14DB4">
              <w:rPr>
                <w:sz w:val="16"/>
                <w:szCs w:val="16"/>
              </w:rPr>
              <w:t xml:space="preserve">ubric can be </w:t>
            </w:r>
            <w:r w:rsidR="00B16AA8" w:rsidRPr="00F14DB4">
              <w:rPr>
                <w:sz w:val="16"/>
                <w:szCs w:val="16"/>
              </w:rPr>
              <w:t xml:space="preserve">found on </w:t>
            </w:r>
            <w:proofErr w:type="spellStart"/>
            <w:r w:rsidR="00B16AA8" w:rsidRPr="00F14DB4">
              <w:rPr>
                <w:sz w:val="16"/>
                <w:szCs w:val="16"/>
              </w:rPr>
              <w:t>EduGAINS</w:t>
            </w:r>
            <w:proofErr w:type="spellEnd"/>
            <w:r w:rsidR="00B16AA8" w:rsidRPr="00F14DB4">
              <w:rPr>
                <w:sz w:val="16"/>
                <w:szCs w:val="16"/>
              </w:rPr>
              <w:t xml:space="preserve"> </w:t>
            </w:r>
            <w:r w:rsidRPr="00F14DB4">
              <w:rPr>
                <w:sz w:val="16"/>
                <w:szCs w:val="16"/>
              </w:rPr>
              <w:t xml:space="preserve">at: </w:t>
            </w:r>
          </w:p>
          <w:p w:rsidR="009C3D4C" w:rsidRPr="00F14DB4" w:rsidRDefault="00FF0F96" w:rsidP="005D464B">
            <w:pPr>
              <w:rPr>
                <w:sz w:val="16"/>
                <w:szCs w:val="16"/>
              </w:rPr>
            </w:pPr>
            <w:hyperlink r:id="rId7" w:history="1">
              <w:r w:rsidRPr="00F14DB4">
                <w:rPr>
                  <w:rStyle w:val="Hyperlink"/>
                  <w:sz w:val="16"/>
                  <w:szCs w:val="16"/>
                </w:rPr>
                <w:t>http://www.edugains.ca/resources/LearningMaterials/MathProcesses/GenericProcessesRubric.doc</w:t>
              </w:r>
            </w:hyperlink>
          </w:p>
          <w:p w:rsidR="00FF0F96" w:rsidRDefault="00FF0F96" w:rsidP="005D464B">
            <w:pPr>
              <w:rPr>
                <w:sz w:val="16"/>
                <w:szCs w:val="16"/>
              </w:rPr>
            </w:pPr>
          </w:p>
          <w:p w:rsidR="00F14DB4" w:rsidRDefault="00F14DB4" w:rsidP="005D464B">
            <w:pPr>
              <w:rPr>
                <w:sz w:val="16"/>
                <w:szCs w:val="16"/>
              </w:rPr>
            </w:pPr>
          </w:p>
          <w:p w:rsidR="00D42402" w:rsidRPr="00F14DB4" w:rsidRDefault="00F14DB4" w:rsidP="005D464B">
            <w:pPr>
              <w:rPr>
                <w:sz w:val="16"/>
                <w:szCs w:val="16"/>
              </w:rPr>
            </w:pPr>
            <w:r w:rsidRPr="00F14DB4">
              <w:rPr>
                <w:sz w:val="16"/>
                <w:szCs w:val="16"/>
                <w:u w:val="single"/>
              </w:rPr>
              <w:t>Note:</w:t>
            </w:r>
            <w:r w:rsidRPr="00F14DB4">
              <w:rPr>
                <w:sz w:val="16"/>
                <w:szCs w:val="16"/>
              </w:rPr>
              <w:t xml:space="preserve"> Samples being used at Math CAMPPP are: Cube Sticker Problem or </w:t>
            </w:r>
            <w:proofErr w:type="spellStart"/>
            <w:r w:rsidRPr="00F14DB4">
              <w:rPr>
                <w:sz w:val="16"/>
                <w:szCs w:val="16"/>
              </w:rPr>
              <w:t>Keepin’Tabs</w:t>
            </w:r>
            <w:proofErr w:type="spellEnd"/>
            <w:r w:rsidRPr="00F14DB4">
              <w:rPr>
                <w:sz w:val="16"/>
                <w:szCs w:val="16"/>
              </w:rPr>
              <w:t xml:space="preserve">. </w:t>
            </w:r>
          </w:p>
          <w:p w:rsidR="00D42402" w:rsidRDefault="00D42402" w:rsidP="005D464B">
            <w:pPr>
              <w:rPr>
                <w:sz w:val="16"/>
                <w:szCs w:val="16"/>
              </w:rPr>
            </w:pPr>
          </w:p>
          <w:p w:rsidR="00F14DB4" w:rsidRDefault="00F14DB4" w:rsidP="005D464B">
            <w:pPr>
              <w:rPr>
                <w:sz w:val="16"/>
                <w:szCs w:val="16"/>
              </w:rPr>
            </w:pPr>
          </w:p>
          <w:p w:rsidR="00F14DB4" w:rsidRDefault="00F14DB4" w:rsidP="005D464B">
            <w:pPr>
              <w:rPr>
                <w:sz w:val="16"/>
                <w:szCs w:val="16"/>
              </w:rPr>
            </w:pPr>
          </w:p>
          <w:p w:rsidR="00F14DB4" w:rsidRPr="00F14DB4" w:rsidRDefault="00F14DB4" w:rsidP="005D464B">
            <w:pPr>
              <w:rPr>
                <w:sz w:val="16"/>
                <w:szCs w:val="16"/>
              </w:rPr>
            </w:pPr>
          </w:p>
          <w:p w:rsidR="00D42402" w:rsidRPr="00F14DB4" w:rsidRDefault="00D42402" w:rsidP="005D464B">
            <w:pPr>
              <w:rPr>
                <w:sz w:val="16"/>
                <w:szCs w:val="16"/>
              </w:rPr>
            </w:pPr>
            <w:r w:rsidRPr="00F14DB4">
              <w:rPr>
                <w:sz w:val="16"/>
                <w:szCs w:val="16"/>
                <w:u w:val="single"/>
              </w:rPr>
              <w:t xml:space="preserve">Note to facilitator </w:t>
            </w:r>
            <w:proofErr w:type="spellStart"/>
            <w:r w:rsidRPr="00F14DB4">
              <w:rPr>
                <w:sz w:val="16"/>
                <w:szCs w:val="16"/>
                <w:u w:val="single"/>
              </w:rPr>
              <w:t>re:</w:t>
            </w:r>
            <w:r w:rsidR="0076656F">
              <w:rPr>
                <w:sz w:val="16"/>
                <w:szCs w:val="16"/>
                <w:u w:val="single"/>
              </w:rPr>
              <w:t>posting</w:t>
            </w:r>
            <w:proofErr w:type="spellEnd"/>
            <w:r w:rsidRPr="00F14DB4">
              <w:rPr>
                <w:sz w:val="16"/>
                <w:szCs w:val="16"/>
              </w:rPr>
              <w:t xml:space="preserve">:  </w:t>
            </w:r>
          </w:p>
          <w:p w:rsidR="00D42402" w:rsidRPr="00FF0F96" w:rsidRDefault="00D42402" w:rsidP="005D464B">
            <w:pPr>
              <w:rPr>
                <w:sz w:val="16"/>
                <w:szCs w:val="16"/>
              </w:rPr>
            </w:pPr>
            <w:r w:rsidRPr="00F14DB4">
              <w:rPr>
                <w:sz w:val="16"/>
                <w:szCs w:val="16"/>
              </w:rPr>
              <w:t>Post a copy of each of the 4 student samples around the room- spread out.  Participants will then post their</w:t>
            </w:r>
            <w:r w:rsidR="00F14DB4">
              <w:rPr>
                <w:sz w:val="16"/>
                <w:szCs w:val="16"/>
              </w:rPr>
              <w:t xml:space="preserve"> feedback on half sheets of </w:t>
            </w:r>
            <w:r w:rsidRPr="00F14DB4">
              <w:rPr>
                <w:sz w:val="16"/>
                <w:szCs w:val="16"/>
              </w:rPr>
              <w:t xml:space="preserve">chart paper beside those samples.  Leave lots of space </w:t>
            </w:r>
            <w:r w:rsidR="00D73B99">
              <w:rPr>
                <w:sz w:val="16"/>
                <w:szCs w:val="16"/>
              </w:rPr>
              <w:t xml:space="preserve">as </w:t>
            </w:r>
            <w:r w:rsidRPr="00F14DB4">
              <w:rPr>
                <w:sz w:val="16"/>
                <w:szCs w:val="16"/>
              </w:rPr>
              <w:t>there will be several half pieces of chart paper posted for each sample.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BE1CFA">
        <w:trPr>
          <w:trHeight w:val="105"/>
        </w:trPr>
        <w:tc>
          <w:tcPr>
            <w:tcW w:w="1320" w:type="dxa"/>
            <w:shd w:val="clear" w:color="auto" w:fill="auto"/>
          </w:tcPr>
          <w:p w:rsidR="00BE1CFA" w:rsidRPr="00FE7C57" w:rsidRDefault="00BE1CFA" w:rsidP="00ED0E98">
            <w:pPr>
              <w:pStyle w:val="Action"/>
              <w:rPr>
                <w:szCs w:val="20"/>
              </w:rPr>
            </w:pPr>
            <w:r w:rsidRPr="00FE7C57">
              <w:rPr>
                <w:szCs w:val="20"/>
              </w:rPr>
              <w:t>Action!</w:t>
            </w:r>
          </w:p>
        </w:tc>
        <w:tc>
          <w:tcPr>
            <w:tcW w:w="7200" w:type="dxa"/>
            <w:vMerge/>
          </w:tcPr>
          <w:p w:rsidR="00BE1CFA" w:rsidRDefault="00BE1CFA" w:rsidP="00ED0E98">
            <w:pPr>
              <w:pStyle w:val="DayTableSubHead"/>
            </w:pPr>
          </w:p>
        </w:tc>
        <w:tc>
          <w:tcPr>
            <w:tcW w:w="2100" w:type="dxa"/>
            <w:vMerge/>
          </w:tcPr>
          <w:p w:rsidR="00BE1CFA" w:rsidRDefault="00BE1CFA" w:rsidP="00ED0E98"/>
        </w:tc>
      </w:tr>
      <w:tr w:rsidR="00BE1CFA">
        <w:trPr>
          <w:trHeight w:val="2414"/>
        </w:trPr>
        <w:tc>
          <w:tcPr>
            <w:tcW w:w="1320" w:type="dxa"/>
            <w:shd w:val="clear" w:color="auto" w:fill="auto"/>
          </w:tcPr>
          <w:p w:rsidR="00BE1CFA" w:rsidRDefault="00BE1CFA" w:rsidP="00ED0E98">
            <w:pPr>
              <w:pStyle w:val="SideBarText"/>
            </w:pPr>
          </w:p>
          <w:p w:rsidR="008A7ABC" w:rsidRDefault="008A7ABC" w:rsidP="00ED0E98">
            <w:pPr>
              <w:pStyle w:val="SideBarText"/>
            </w:pPr>
          </w:p>
          <w:p w:rsidR="008A7ABC" w:rsidRDefault="008A7ABC" w:rsidP="00ED0E98">
            <w:pPr>
              <w:pStyle w:val="SideBarText"/>
            </w:pPr>
          </w:p>
          <w:p w:rsidR="008A7ABC" w:rsidRDefault="008A7ABC" w:rsidP="00ED0E98">
            <w:pPr>
              <w:pStyle w:val="SideBarText"/>
            </w:pPr>
          </w:p>
          <w:p w:rsidR="008A7ABC" w:rsidRDefault="008A7ABC" w:rsidP="00ED0E98">
            <w:pPr>
              <w:pStyle w:val="SideBarText"/>
            </w:pPr>
          </w:p>
          <w:p w:rsidR="008A7ABC" w:rsidRDefault="008A7ABC" w:rsidP="00ED0E98">
            <w:pPr>
              <w:pStyle w:val="SideBarText"/>
            </w:pPr>
          </w:p>
          <w:p w:rsidR="008A7ABC" w:rsidRDefault="008A7ABC" w:rsidP="00ED0E98">
            <w:pPr>
              <w:pStyle w:val="SideBarText"/>
            </w:pPr>
          </w:p>
          <w:p w:rsidR="008A7ABC" w:rsidRDefault="008A7ABC" w:rsidP="00ED0E98">
            <w:pPr>
              <w:pStyle w:val="SideBarText"/>
            </w:pPr>
          </w:p>
          <w:p w:rsidR="008A7ABC" w:rsidRDefault="008A7ABC" w:rsidP="00ED0E98">
            <w:pPr>
              <w:pStyle w:val="SideBarText"/>
            </w:pPr>
          </w:p>
          <w:p w:rsidR="008A7ABC" w:rsidRDefault="008A7ABC" w:rsidP="00ED0E98">
            <w:pPr>
              <w:pStyle w:val="SideBarText"/>
            </w:pPr>
          </w:p>
          <w:p w:rsidR="008A7ABC" w:rsidRDefault="008A7ABC" w:rsidP="00ED0E98">
            <w:pPr>
              <w:pStyle w:val="SideBarText"/>
            </w:pPr>
          </w:p>
          <w:p w:rsidR="008A7ABC" w:rsidRDefault="008A7ABC" w:rsidP="008D7A33">
            <w:pPr>
              <w:pStyle w:val="SideBarText"/>
              <w:jc w:val="right"/>
            </w:pPr>
          </w:p>
          <w:p w:rsidR="008A7ABC" w:rsidRDefault="008A7ABC" w:rsidP="00ED0E98">
            <w:pPr>
              <w:pStyle w:val="SideBarText"/>
            </w:pPr>
          </w:p>
          <w:p w:rsidR="008A7ABC" w:rsidRDefault="008A7ABC" w:rsidP="00ED0E98">
            <w:pPr>
              <w:pStyle w:val="SideBarText"/>
            </w:pPr>
          </w:p>
          <w:p w:rsidR="008A7ABC" w:rsidRDefault="008A7ABC" w:rsidP="00B32058">
            <w:pPr>
              <w:pStyle w:val="SideBarText"/>
              <w:jc w:val="right"/>
            </w:pPr>
          </w:p>
          <w:p w:rsidR="008A7ABC" w:rsidRDefault="00E63BDB" w:rsidP="00B32058">
            <w:pPr>
              <w:pStyle w:val="SideBarText"/>
              <w:jc w:val="right"/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266065" cy="239395"/>
                  <wp:effectExtent l="19050" t="0" r="635" b="0"/>
                  <wp:docPr id="1" name="Picture 1" descr="d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7ABC" w:rsidRDefault="008A7ABC" w:rsidP="00ED0E98">
            <w:pPr>
              <w:pStyle w:val="SideBarText"/>
            </w:pPr>
          </w:p>
          <w:p w:rsidR="008A7ABC" w:rsidRDefault="008A7ABC" w:rsidP="00ED0E98">
            <w:pPr>
              <w:pStyle w:val="SideBarText"/>
            </w:pPr>
          </w:p>
          <w:p w:rsidR="008A7ABC" w:rsidRDefault="008A7ABC" w:rsidP="00ED0E98">
            <w:pPr>
              <w:pStyle w:val="SideBarText"/>
            </w:pPr>
          </w:p>
          <w:p w:rsidR="008A7ABC" w:rsidRDefault="008A7ABC" w:rsidP="00ED0E98">
            <w:pPr>
              <w:pStyle w:val="SideBarText"/>
            </w:pPr>
          </w:p>
          <w:p w:rsidR="008A7ABC" w:rsidRDefault="008A7ABC" w:rsidP="00ED0E98">
            <w:pPr>
              <w:pStyle w:val="SideBarText"/>
            </w:pPr>
          </w:p>
          <w:p w:rsidR="008A7ABC" w:rsidRDefault="008A7ABC" w:rsidP="00ED0E98">
            <w:pPr>
              <w:pStyle w:val="SideBarText"/>
            </w:pPr>
          </w:p>
        </w:tc>
        <w:tc>
          <w:tcPr>
            <w:tcW w:w="7200" w:type="dxa"/>
            <w:vMerge/>
          </w:tcPr>
          <w:p w:rsidR="00BE1CFA" w:rsidRDefault="00BE1CFA" w:rsidP="00ED0E98">
            <w:pPr>
              <w:pStyle w:val="DayTableSubHead"/>
            </w:pPr>
          </w:p>
        </w:tc>
        <w:tc>
          <w:tcPr>
            <w:tcW w:w="2100" w:type="dxa"/>
            <w:vMerge/>
          </w:tcPr>
          <w:p w:rsidR="00BE1CFA" w:rsidRDefault="00BE1CFA" w:rsidP="00ED0E98"/>
        </w:tc>
      </w:tr>
      <w:tr w:rsidR="00BE1CFA">
        <w:trPr>
          <w:trHeight w:val="144"/>
        </w:trPr>
        <w:tc>
          <w:tcPr>
            <w:tcW w:w="1320" w:type="dxa"/>
            <w:shd w:val="clear" w:color="auto" w:fill="0000FF"/>
          </w:tcPr>
          <w:p w:rsidR="00BE1CFA" w:rsidRDefault="00BE1CFA" w:rsidP="00ED0E98">
            <w:pPr>
              <w:pStyle w:val="ConsolidateDebrief"/>
              <w:spacing w:before="0"/>
            </w:pPr>
          </w:p>
        </w:tc>
        <w:tc>
          <w:tcPr>
            <w:tcW w:w="7200" w:type="dxa"/>
            <w:vMerge w:val="restart"/>
          </w:tcPr>
          <w:p w:rsidR="00BE1CFA" w:rsidRPr="008A7ABC" w:rsidRDefault="00052B75" w:rsidP="00ED0E98">
            <w:pPr>
              <w:pStyle w:val="DayTableSubHead"/>
              <w:rPr>
                <w:u w:val="none"/>
              </w:rPr>
            </w:pPr>
            <w:r w:rsidRPr="008A7ABC">
              <w:rPr>
                <w:u w:val="none"/>
              </w:rPr>
              <w:t>Whole Group</w:t>
            </w:r>
            <w:r w:rsidR="00BE1CFA" w:rsidRPr="008A7ABC">
              <w:rPr>
                <w:u w:val="none"/>
              </w:rPr>
              <w:sym w:font="Wingdings" w:char="F0E0"/>
            </w:r>
            <w:r w:rsidR="00BA6996">
              <w:rPr>
                <w:u w:val="none"/>
              </w:rPr>
              <w:t>Discussion</w:t>
            </w:r>
            <w:r w:rsidR="00106153" w:rsidRPr="008A7ABC">
              <w:rPr>
                <w:u w:val="none"/>
              </w:rPr>
              <w:t xml:space="preserve"> </w:t>
            </w:r>
          </w:p>
          <w:p w:rsidR="00BE1CFA" w:rsidRPr="00FA5023" w:rsidRDefault="0001757D" w:rsidP="00FA5023">
            <w:pPr>
              <w:pStyle w:val="DayTableSubHead"/>
              <w:numPr>
                <w:ilvl w:val="0"/>
                <w:numId w:val="12"/>
              </w:numPr>
            </w:pPr>
            <w:r>
              <w:rPr>
                <w:rFonts w:ascii="Times New Roman" w:hAnsi="Times New Roman"/>
                <w:b w:val="0"/>
                <w:u w:val="none"/>
              </w:rPr>
              <w:t xml:space="preserve">Did </w:t>
            </w:r>
            <w:r w:rsidR="00FA5023">
              <w:rPr>
                <w:rFonts w:ascii="Times New Roman" w:hAnsi="Times New Roman"/>
                <w:b w:val="0"/>
                <w:u w:val="none"/>
              </w:rPr>
              <w:t>focussing on a particular lens help you provide feedback?</w:t>
            </w:r>
            <w:r>
              <w:rPr>
                <w:rFonts w:ascii="Times New Roman" w:hAnsi="Times New Roman"/>
                <w:b w:val="0"/>
                <w:u w:val="none"/>
              </w:rPr>
              <w:t xml:space="preserve"> Why/why not?</w:t>
            </w:r>
          </w:p>
          <w:p w:rsidR="00FA5023" w:rsidRPr="0001757D" w:rsidRDefault="00FA5023" w:rsidP="00FA5023">
            <w:pPr>
              <w:pStyle w:val="DayTableSubHead"/>
              <w:numPr>
                <w:ilvl w:val="0"/>
                <w:numId w:val="12"/>
              </w:numPr>
            </w:pPr>
            <w:r>
              <w:rPr>
                <w:rFonts w:ascii="Times New Roman" w:hAnsi="Times New Roman"/>
                <w:b w:val="0"/>
                <w:u w:val="none"/>
              </w:rPr>
              <w:t>Did you notice any overlaps in the feedback provided through different lenses?</w:t>
            </w:r>
          </w:p>
          <w:p w:rsidR="0001757D" w:rsidRPr="0001757D" w:rsidRDefault="0001757D" w:rsidP="00FA5023">
            <w:pPr>
              <w:pStyle w:val="DayTableSubHead"/>
              <w:numPr>
                <w:ilvl w:val="0"/>
                <w:numId w:val="12"/>
              </w:numPr>
            </w:pPr>
            <w:r>
              <w:rPr>
                <w:rFonts w:ascii="Times New Roman" w:hAnsi="Times New Roman"/>
                <w:b w:val="0"/>
                <w:u w:val="none"/>
              </w:rPr>
              <w:t>Will you look at providing feedback any differently now? Why/why not?</w:t>
            </w:r>
          </w:p>
          <w:p w:rsidR="00FA5023" w:rsidRPr="00BA6996" w:rsidRDefault="00BA6996" w:rsidP="0001757D">
            <w:pPr>
              <w:pStyle w:val="DayTableSubHead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BA6996">
              <w:rPr>
                <w:rFonts w:ascii="Times New Roman" w:hAnsi="Times New Roman"/>
                <w:b w:val="0"/>
                <w:u w:val="none"/>
              </w:rPr>
              <w:t>What questions/concerns do you still have? What are your next steps?</w:t>
            </w:r>
          </w:p>
        </w:tc>
        <w:tc>
          <w:tcPr>
            <w:tcW w:w="2100" w:type="dxa"/>
            <w:vMerge w:val="restart"/>
            <w:shd w:val="clear" w:color="auto" w:fill="auto"/>
          </w:tcPr>
          <w:p w:rsidR="00BE1CFA" w:rsidRPr="00A84B15" w:rsidRDefault="00A84B15" w:rsidP="00ED0E98">
            <w:pPr>
              <w:rPr>
                <w:color w:val="FF3399"/>
              </w:rPr>
            </w:pPr>
            <w:r>
              <w:rPr>
                <w:color w:val="FF3399"/>
              </w:rPr>
              <w:t>are we going to record any of the ideas here?</w:t>
            </w:r>
          </w:p>
        </w:tc>
      </w:tr>
      <w:tr w:rsidR="00BE1CFA">
        <w:trPr>
          <w:trHeight w:val="205"/>
        </w:trPr>
        <w:tc>
          <w:tcPr>
            <w:tcW w:w="1320" w:type="dxa"/>
            <w:shd w:val="clear" w:color="auto" w:fill="auto"/>
          </w:tcPr>
          <w:p w:rsidR="00BE1CFA" w:rsidRPr="00FE7C57" w:rsidRDefault="00BE1CFA" w:rsidP="00ED0E98">
            <w:pPr>
              <w:pStyle w:val="ConsolidateDebrief"/>
              <w:spacing w:before="0"/>
              <w:jc w:val="left"/>
              <w:rPr>
                <w:szCs w:val="20"/>
              </w:rPr>
            </w:pPr>
            <w:r w:rsidRPr="00FE7C57">
              <w:rPr>
                <w:szCs w:val="20"/>
              </w:rPr>
              <w:t>Consolidate Debrief</w:t>
            </w:r>
          </w:p>
        </w:tc>
        <w:tc>
          <w:tcPr>
            <w:tcW w:w="7200" w:type="dxa"/>
            <w:vMerge/>
          </w:tcPr>
          <w:p w:rsidR="00BE1CFA" w:rsidRDefault="00BE1CFA" w:rsidP="00ED0E98">
            <w:pPr>
              <w:pStyle w:val="DayTableSubHead"/>
            </w:pPr>
          </w:p>
        </w:tc>
        <w:tc>
          <w:tcPr>
            <w:tcW w:w="2100" w:type="dxa"/>
            <w:vMerge/>
          </w:tcPr>
          <w:p w:rsidR="00BE1CFA" w:rsidRDefault="00BE1CFA" w:rsidP="00ED0E98"/>
        </w:tc>
      </w:tr>
      <w:tr w:rsidR="00BE1CFA">
        <w:trPr>
          <w:trHeight w:val="20"/>
        </w:trPr>
        <w:tc>
          <w:tcPr>
            <w:tcW w:w="1320" w:type="dxa"/>
            <w:shd w:val="clear" w:color="auto" w:fill="auto"/>
          </w:tcPr>
          <w:p w:rsidR="00BE1CFA" w:rsidRDefault="00BE1CFA" w:rsidP="00ED0E98">
            <w:pPr>
              <w:pStyle w:val="SideBarText"/>
            </w:pPr>
          </w:p>
        </w:tc>
        <w:tc>
          <w:tcPr>
            <w:tcW w:w="7200" w:type="dxa"/>
            <w:vMerge/>
          </w:tcPr>
          <w:p w:rsidR="00BE1CFA" w:rsidRDefault="00BE1CFA" w:rsidP="00ED0E98">
            <w:pPr>
              <w:pStyle w:val="DayTableSubHead"/>
            </w:pPr>
          </w:p>
        </w:tc>
        <w:tc>
          <w:tcPr>
            <w:tcW w:w="2100" w:type="dxa"/>
            <w:vMerge/>
          </w:tcPr>
          <w:p w:rsidR="00BE1CFA" w:rsidRDefault="00BE1CFA" w:rsidP="00ED0E98"/>
        </w:tc>
      </w:tr>
      <w:tr w:rsidR="00BE1CFA">
        <w:trPr>
          <w:trHeight w:hRule="exact" w:val="1008"/>
        </w:trPr>
        <w:tc>
          <w:tcPr>
            <w:tcW w:w="1320" w:type="dxa"/>
            <w:shd w:val="clear" w:color="auto" w:fill="auto"/>
          </w:tcPr>
          <w:p w:rsidR="00052B75" w:rsidRDefault="005D48DC" w:rsidP="00052B75">
            <w:pPr>
              <w:pStyle w:val="HomeActivitySideText"/>
            </w:pPr>
            <w:r>
              <w:lastRenderedPageBreak/>
              <w:t>Reflection</w:t>
            </w:r>
          </w:p>
          <w:p w:rsidR="00BE1CFA" w:rsidRDefault="00BE1CFA" w:rsidP="00425427">
            <w:pPr>
              <w:pStyle w:val="HomeActivitySideText"/>
            </w:pPr>
          </w:p>
        </w:tc>
        <w:tc>
          <w:tcPr>
            <w:tcW w:w="7200" w:type="dxa"/>
          </w:tcPr>
          <w:p w:rsidR="00BE1CFA" w:rsidRPr="00E42FA1" w:rsidRDefault="00BE1CFA" w:rsidP="00ED0E98">
            <w:pPr>
              <w:pStyle w:val="HomeActivity"/>
              <w:rPr>
                <w:u w:val="none"/>
              </w:rPr>
            </w:pPr>
            <w:r w:rsidRPr="00E42FA1">
              <w:rPr>
                <w:u w:val="none"/>
              </w:rPr>
              <w:t>Home Activity or Further Classroom Consolidation</w:t>
            </w:r>
          </w:p>
          <w:p w:rsidR="005D48DC" w:rsidRDefault="005D48DC" w:rsidP="005D48DC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 xml:space="preserve">Individual </w:t>
            </w:r>
            <w:r w:rsidRPr="009141E6">
              <w:rPr>
                <w:u w:val="none"/>
              </w:rPr>
              <w:t xml:space="preserve"> </w:t>
            </w:r>
            <w:r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Perspective Passport / Math Map</w:t>
            </w:r>
          </w:p>
          <w:p w:rsidR="005D48DC" w:rsidRPr="00F57485" w:rsidRDefault="005D48DC" w:rsidP="005D48DC">
            <w:pPr>
              <w:pStyle w:val="DayTableSubHead"/>
              <w:rPr>
                <w:rFonts w:ascii="Times New Roman" w:hAnsi="Times New Roman"/>
                <w:b w:val="0"/>
                <w:u w:val="none"/>
              </w:rPr>
            </w:pPr>
            <w:r w:rsidRPr="00F57485">
              <w:rPr>
                <w:rFonts w:ascii="Times New Roman" w:hAnsi="Times New Roman"/>
                <w:b w:val="0"/>
                <w:u w:val="none"/>
              </w:rPr>
              <w:t>Provide time for participants to individually reflect on their learning/ possible next steps and record in their Perspective Passport or on their Math Map. Allow about 5 minutes.</w:t>
            </w:r>
          </w:p>
          <w:p w:rsidR="00BE1CFA" w:rsidRPr="005D464B" w:rsidRDefault="00BE1CFA" w:rsidP="00ED0E98">
            <w:pPr>
              <w:pStyle w:val="DayTableSubHead"/>
              <w:rPr>
                <w:b w:val="0"/>
                <w:u w:val="none"/>
              </w:rPr>
            </w:pPr>
          </w:p>
        </w:tc>
        <w:tc>
          <w:tcPr>
            <w:tcW w:w="2100" w:type="dxa"/>
          </w:tcPr>
          <w:p w:rsidR="00BE1CFA" w:rsidRDefault="00BE1CFA" w:rsidP="00ED0E98"/>
        </w:tc>
      </w:tr>
    </w:tbl>
    <w:p w:rsidR="00BE1CFA" w:rsidRDefault="00BE1CFA" w:rsidP="00BE1CFA">
      <w:pPr>
        <w:pStyle w:val="BLMText"/>
      </w:pPr>
    </w:p>
    <w:p w:rsidR="00106153" w:rsidRDefault="00106153" w:rsidP="001B5C8E"/>
    <w:sectPr w:rsidR="00106153" w:rsidSect="00612D7C">
      <w:pgSz w:w="12240" w:h="15840" w:code="1"/>
      <w:pgMar w:top="1080" w:right="1080" w:bottom="720" w:left="1080" w:header="36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1F0" w:rsidRDefault="00BE41F0">
      <w:r>
        <w:separator/>
      </w:r>
    </w:p>
  </w:endnote>
  <w:endnote w:type="continuationSeparator" w:id="0">
    <w:p w:rsidR="00BE41F0" w:rsidRDefault="00BE41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1F0" w:rsidRDefault="00BE41F0">
      <w:r>
        <w:separator/>
      </w:r>
    </w:p>
  </w:footnote>
  <w:footnote w:type="continuationSeparator" w:id="0">
    <w:p w:rsidR="00BE41F0" w:rsidRDefault="00BE41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32.85pt;height:14pt" o:bullet="t">
        <v:imagedata r:id="rId1" o:title="aal"/>
      </v:shape>
    </w:pict>
  </w:numPicBullet>
  <w:numPicBullet w:numPicBulletId="1">
    <w:pict>
      <v:shape id="_x0000_i1054" type="#_x0000_t75" style="width:32.85pt;height:14.7pt" o:bullet="t">
        <v:imagedata r:id="rId2" o:title="afl"/>
      </v:shape>
    </w:pict>
  </w:numPicBullet>
  <w:abstractNum w:abstractNumId="0">
    <w:nsid w:val="059C6ECE"/>
    <w:multiLevelType w:val="hybridMultilevel"/>
    <w:tmpl w:val="5946477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F1710B4"/>
    <w:multiLevelType w:val="hybridMultilevel"/>
    <w:tmpl w:val="0D9423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5E0896"/>
    <w:multiLevelType w:val="hybridMultilevel"/>
    <w:tmpl w:val="DED882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AD06DF"/>
    <w:multiLevelType w:val="hybridMultilevel"/>
    <w:tmpl w:val="76065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107B2D"/>
    <w:multiLevelType w:val="hybridMultilevel"/>
    <w:tmpl w:val="8FFE80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844FEF"/>
    <w:multiLevelType w:val="hybridMultilevel"/>
    <w:tmpl w:val="39329BD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EA24E2"/>
    <w:multiLevelType w:val="hybridMultilevel"/>
    <w:tmpl w:val="0A304AC2"/>
    <w:lvl w:ilvl="0" w:tplc="AC1EAC98">
      <w:start w:val="1"/>
      <w:numFmt w:val="bullet"/>
      <w:pStyle w:val="MaterialBullet"/>
      <w:lvlText w:val=""/>
      <w:lvlJc w:val="left"/>
      <w:pPr>
        <w:tabs>
          <w:tab w:val="num" w:pos="120"/>
        </w:tabs>
        <w:ind w:left="120" w:hanging="120"/>
      </w:pPr>
      <w:rPr>
        <w:rFonts w:ascii="Symbol" w:hAnsi="Symbol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3C664A4"/>
    <w:multiLevelType w:val="hybridMultilevel"/>
    <w:tmpl w:val="2392F2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CDC7B73"/>
    <w:multiLevelType w:val="hybridMultilevel"/>
    <w:tmpl w:val="9F5E81E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3D1738"/>
    <w:multiLevelType w:val="hybridMultilevel"/>
    <w:tmpl w:val="62CCC878"/>
    <w:lvl w:ilvl="0" w:tplc="02EA18B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05C5660"/>
    <w:multiLevelType w:val="hybridMultilevel"/>
    <w:tmpl w:val="11F68352"/>
    <w:lvl w:ilvl="0" w:tplc="04090001">
      <w:start w:val="1"/>
      <w:numFmt w:val="bullet"/>
      <w:pStyle w:val="DayTableBullet"/>
      <w:lvlText w:val=""/>
      <w:lvlJc w:val="left"/>
      <w:pPr>
        <w:tabs>
          <w:tab w:val="num" w:pos="160"/>
        </w:tabs>
        <w:ind w:left="160" w:hanging="1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0D02A48"/>
    <w:multiLevelType w:val="hybridMultilevel"/>
    <w:tmpl w:val="816CB388"/>
    <w:lvl w:ilvl="0" w:tplc="01B4A44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84E3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2E87BD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A869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7299B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E632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8888D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9A486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812828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78773F61"/>
    <w:multiLevelType w:val="hybridMultilevel"/>
    <w:tmpl w:val="5360FB86"/>
    <w:lvl w:ilvl="0" w:tplc="B1244D52">
      <w:start w:val="1"/>
      <w:numFmt w:val="bullet"/>
      <w:pStyle w:val="SideBarBullet"/>
      <w:lvlText w:val=""/>
      <w:lvlJc w:val="left"/>
      <w:pPr>
        <w:tabs>
          <w:tab w:val="num" w:pos="120"/>
        </w:tabs>
        <w:ind w:left="72" w:hanging="72"/>
      </w:pPr>
      <w:rPr>
        <w:rFonts w:ascii="Symbol" w:hAnsi="Symbol" w:hint="default"/>
        <w:color w:val="auto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EEE34AE"/>
    <w:multiLevelType w:val="hybridMultilevel"/>
    <w:tmpl w:val="3E74727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2"/>
  </w:num>
  <w:num w:numId="4">
    <w:abstractNumId w:val="8"/>
  </w:num>
  <w:num w:numId="5">
    <w:abstractNumId w:val="13"/>
  </w:num>
  <w:num w:numId="6">
    <w:abstractNumId w:val="5"/>
  </w:num>
  <w:num w:numId="7">
    <w:abstractNumId w:val="11"/>
  </w:num>
  <w:num w:numId="8">
    <w:abstractNumId w:val="3"/>
  </w:num>
  <w:num w:numId="9">
    <w:abstractNumId w:val="9"/>
  </w:num>
  <w:num w:numId="10">
    <w:abstractNumId w:val="4"/>
  </w:num>
  <w:num w:numId="11">
    <w:abstractNumId w:val="0"/>
  </w:num>
  <w:num w:numId="12">
    <w:abstractNumId w:val="7"/>
  </w:num>
  <w:num w:numId="13">
    <w:abstractNumId w:val="2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BE1CFA"/>
    <w:rsid w:val="000059F0"/>
    <w:rsid w:val="0001739B"/>
    <w:rsid w:val="0001757D"/>
    <w:rsid w:val="0003142E"/>
    <w:rsid w:val="00052B75"/>
    <w:rsid w:val="00066D44"/>
    <w:rsid w:val="00095561"/>
    <w:rsid w:val="000D6EE1"/>
    <w:rsid w:val="00106153"/>
    <w:rsid w:val="00110A0D"/>
    <w:rsid w:val="001A23E1"/>
    <w:rsid w:val="001B5C8E"/>
    <w:rsid w:val="001D6035"/>
    <w:rsid w:val="001F5943"/>
    <w:rsid w:val="002C178F"/>
    <w:rsid w:val="002F6075"/>
    <w:rsid w:val="00360502"/>
    <w:rsid w:val="00360D73"/>
    <w:rsid w:val="00397D2C"/>
    <w:rsid w:val="003A0049"/>
    <w:rsid w:val="003A48EA"/>
    <w:rsid w:val="003A55F9"/>
    <w:rsid w:val="003D3939"/>
    <w:rsid w:val="004165F7"/>
    <w:rsid w:val="00425427"/>
    <w:rsid w:val="004274AF"/>
    <w:rsid w:val="00444E31"/>
    <w:rsid w:val="00464FBF"/>
    <w:rsid w:val="00493364"/>
    <w:rsid w:val="00497218"/>
    <w:rsid w:val="004D7B81"/>
    <w:rsid w:val="00553194"/>
    <w:rsid w:val="0055449E"/>
    <w:rsid w:val="00562F52"/>
    <w:rsid w:val="005B1AC8"/>
    <w:rsid w:val="005D464B"/>
    <w:rsid w:val="005D48DC"/>
    <w:rsid w:val="00612D7C"/>
    <w:rsid w:val="0062229C"/>
    <w:rsid w:val="00645FFB"/>
    <w:rsid w:val="00687732"/>
    <w:rsid w:val="006A7841"/>
    <w:rsid w:val="006B2B05"/>
    <w:rsid w:val="006C7FE5"/>
    <w:rsid w:val="00727EFA"/>
    <w:rsid w:val="00746594"/>
    <w:rsid w:val="007643B3"/>
    <w:rsid w:val="0076656F"/>
    <w:rsid w:val="0077684C"/>
    <w:rsid w:val="0079275A"/>
    <w:rsid w:val="007A0A27"/>
    <w:rsid w:val="007A6CC4"/>
    <w:rsid w:val="007C0B84"/>
    <w:rsid w:val="008136ED"/>
    <w:rsid w:val="00824E03"/>
    <w:rsid w:val="008A0CC0"/>
    <w:rsid w:val="008A1693"/>
    <w:rsid w:val="008A7ABC"/>
    <w:rsid w:val="008D7A33"/>
    <w:rsid w:val="00904EF1"/>
    <w:rsid w:val="00941FF2"/>
    <w:rsid w:val="009C3D4C"/>
    <w:rsid w:val="00A16C14"/>
    <w:rsid w:val="00A36450"/>
    <w:rsid w:val="00A84B15"/>
    <w:rsid w:val="00AC0427"/>
    <w:rsid w:val="00B14FFD"/>
    <w:rsid w:val="00B16AA8"/>
    <w:rsid w:val="00B31240"/>
    <w:rsid w:val="00B32058"/>
    <w:rsid w:val="00B620FD"/>
    <w:rsid w:val="00B62849"/>
    <w:rsid w:val="00BA6996"/>
    <w:rsid w:val="00BC2379"/>
    <w:rsid w:val="00BD296D"/>
    <w:rsid w:val="00BE1CFA"/>
    <w:rsid w:val="00BE41F0"/>
    <w:rsid w:val="00C0188C"/>
    <w:rsid w:val="00C24134"/>
    <w:rsid w:val="00CA1E51"/>
    <w:rsid w:val="00CB17ED"/>
    <w:rsid w:val="00CE759C"/>
    <w:rsid w:val="00D42402"/>
    <w:rsid w:val="00D73B99"/>
    <w:rsid w:val="00D75A1B"/>
    <w:rsid w:val="00D92630"/>
    <w:rsid w:val="00DA0282"/>
    <w:rsid w:val="00DA33A5"/>
    <w:rsid w:val="00DE13EB"/>
    <w:rsid w:val="00E63BDB"/>
    <w:rsid w:val="00E86664"/>
    <w:rsid w:val="00ED0E98"/>
    <w:rsid w:val="00F14DB4"/>
    <w:rsid w:val="00F70424"/>
    <w:rsid w:val="00FA5023"/>
    <w:rsid w:val="00FE2B66"/>
    <w:rsid w:val="00FF0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CFA"/>
    <w:rPr>
      <w:sz w:val="22"/>
      <w:szCs w:val="24"/>
      <w:lang w:eastAsia="en-US"/>
    </w:rPr>
  </w:style>
  <w:style w:type="paragraph" w:styleId="Heading1">
    <w:name w:val="heading 1"/>
    <w:aliases w:val="Lesson Title"/>
    <w:basedOn w:val="Normal"/>
    <w:next w:val="Normal"/>
    <w:qFormat/>
    <w:rsid w:val="00E86664"/>
    <w:pPr>
      <w:keepNext/>
      <w:tabs>
        <w:tab w:val="right" w:pos="9360"/>
      </w:tabs>
      <w:spacing w:after="60"/>
      <w:outlineLvl w:val="0"/>
    </w:pPr>
    <w:rPr>
      <w:rFonts w:ascii="Arial" w:hAnsi="Arial" w:cs="Arial"/>
      <w:b/>
      <w:bCs/>
      <w:color w:val="0000FF"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ction">
    <w:name w:val="Action!"/>
    <w:link w:val="ActionChar"/>
    <w:autoRedefine/>
    <w:rsid w:val="00BE1CFA"/>
    <w:rPr>
      <w:rFonts w:ascii="Arial" w:hAnsi="Arial"/>
      <w:b/>
      <w:color w:val="FF0000"/>
      <w:szCs w:val="24"/>
      <w:lang w:eastAsia="en-US"/>
    </w:rPr>
  </w:style>
  <w:style w:type="paragraph" w:customStyle="1" w:styleId="ConsolidateDebrief">
    <w:name w:val="Consolidate Debrief"/>
    <w:link w:val="ConsolidateDebriefChar"/>
    <w:rsid w:val="00BE1CFA"/>
    <w:pPr>
      <w:spacing w:before="120"/>
      <w:jc w:val="center"/>
    </w:pPr>
    <w:rPr>
      <w:rFonts w:ascii="Arial" w:hAnsi="Arial"/>
      <w:b/>
      <w:color w:val="0000FF"/>
      <w:szCs w:val="24"/>
      <w:lang w:eastAsia="en-US"/>
    </w:rPr>
  </w:style>
  <w:style w:type="paragraph" w:customStyle="1" w:styleId="DayTableText">
    <w:name w:val="Day Table Text"/>
    <w:basedOn w:val="Normal"/>
    <w:rsid w:val="00BE1CFA"/>
    <w:rPr>
      <w:sz w:val="20"/>
    </w:rPr>
  </w:style>
  <w:style w:type="paragraph" w:customStyle="1" w:styleId="DayTableBullet">
    <w:name w:val="Day Table Bullet"/>
    <w:basedOn w:val="Normal"/>
    <w:rsid w:val="00BE1CFA"/>
    <w:pPr>
      <w:numPr>
        <w:numId w:val="1"/>
      </w:numPr>
    </w:pPr>
    <w:rPr>
      <w:sz w:val="20"/>
    </w:rPr>
  </w:style>
  <w:style w:type="paragraph" w:customStyle="1" w:styleId="DayTableSubHead">
    <w:name w:val="Day Table Sub Head"/>
    <w:rsid w:val="00BE1CFA"/>
    <w:rPr>
      <w:rFonts w:ascii="Arial" w:hAnsi="Arial"/>
      <w:b/>
      <w:szCs w:val="24"/>
      <w:u w:val="single"/>
      <w:lang w:eastAsia="en-US"/>
    </w:rPr>
  </w:style>
  <w:style w:type="paragraph" w:customStyle="1" w:styleId="DayTitle">
    <w:name w:val="Day Title"/>
    <w:rsid w:val="00BE1CFA"/>
    <w:rPr>
      <w:rFonts w:ascii="Arial" w:hAnsi="Arial"/>
      <w:b/>
      <w:color w:val="0000FF"/>
      <w:sz w:val="24"/>
      <w:szCs w:val="24"/>
      <w:lang w:eastAsia="en-US"/>
    </w:rPr>
  </w:style>
  <w:style w:type="paragraph" w:customStyle="1" w:styleId="GradeTitle">
    <w:name w:val="Grade Title"/>
    <w:autoRedefine/>
    <w:rsid w:val="00BE1CFA"/>
    <w:rPr>
      <w:rFonts w:ascii="Arial" w:hAnsi="Arial"/>
      <w:b/>
      <w:color w:val="0000FF"/>
      <w:szCs w:val="24"/>
      <w:lang w:eastAsia="en-US"/>
    </w:rPr>
  </w:style>
  <w:style w:type="paragraph" w:customStyle="1" w:styleId="HomeActivity">
    <w:name w:val="Home Activity"/>
    <w:rsid w:val="00BE1CFA"/>
    <w:pPr>
      <w:spacing w:before="60"/>
    </w:pPr>
    <w:rPr>
      <w:rFonts w:ascii="Arial" w:hAnsi="Arial"/>
      <w:b/>
      <w:color w:val="0000FF"/>
      <w:szCs w:val="24"/>
      <w:u w:val="single"/>
      <w:lang w:eastAsia="en-US"/>
    </w:rPr>
  </w:style>
  <w:style w:type="paragraph" w:customStyle="1" w:styleId="HomeActivitySideText">
    <w:name w:val="Home Activity Side Text"/>
    <w:rsid w:val="00BE1CFA"/>
    <w:rPr>
      <w:i/>
      <w:sz w:val="18"/>
      <w:szCs w:val="24"/>
      <w:lang w:eastAsia="en-US"/>
    </w:rPr>
  </w:style>
  <w:style w:type="paragraph" w:customStyle="1" w:styleId="MaterialHead">
    <w:name w:val="Material Head"/>
    <w:rsid w:val="00BE1CFA"/>
    <w:rPr>
      <w:rFonts w:ascii="Arial" w:hAnsi="Arial"/>
      <w:b/>
      <w:sz w:val="18"/>
      <w:szCs w:val="24"/>
      <w:u w:val="single"/>
      <w:lang w:eastAsia="en-US"/>
    </w:rPr>
  </w:style>
  <w:style w:type="paragraph" w:customStyle="1" w:styleId="MaterialBullet">
    <w:name w:val="Material Bullet"/>
    <w:rsid w:val="00BE1CFA"/>
    <w:pPr>
      <w:numPr>
        <w:numId w:val="2"/>
      </w:numPr>
    </w:pPr>
    <w:rPr>
      <w:sz w:val="18"/>
      <w:szCs w:val="24"/>
      <w:lang w:eastAsia="en-US"/>
    </w:rPr>
  </w:style>
  <w:style w:type="paragraph" w:customStyle="1" w:styleId="SideBarText">
    <w:name w:val="Side Bar Text"/>
    <w:rsid w:val="00BE1CFA"/>
    <w:rPr>
      <w:rFonts w:ascii="Arial" w:hAnsi="Arial"/>
      <w:sz w:val="16"/>
      <w:szCs w:val="24"/>
      <w:lang w:eastAsia="en-US"/>
    </w:rPr>
  </w:style>
  <w:style w:type="paragraph" w:customStyle="1" w:styleId="SideBarBullet">
    <w:name w:val="Side Bar Bullet"/>
    <w:rsid w:val="00BE1CFA"/>
    <w:pPr>
      <w:numPr>
        <w:numId w:val="3"/>
      </w:numPr>
    </w:pPr>
    <w:rPr>
      <w:rFonts w:ascii="Arial" w:hAnsi="Arial"/>
      <w:sz w:val="16"/>
      <w:szCs w:val="24"/>
      <w:lang w:eastAsia="en-US"/>
    </w:rPr>
  </w:style>
  <w:style w:type="paragraph" w:customStyle="1" w:styleId="MindsOn">
    <w:name w:val="Minds On…"/>
    <w:basedOn w:val="Normal"/>
    <w:link w:val="MindsOnChar"/>
    <w:autoRedefine/>
    <w:rsid w:val="00BE1CFA"/>
    <w:rPr>
      <w:rFonts w:ascii="Arial" w:hAnsi="Arial"/>
      <w:b/>
      <w:color w:val="669900"/>
      <w:sz w:val="20"/>
    </w:rPr>
  </w:style>
  <w:style w:type="paragraph" w:styleId="Header">
    <w:name w:val="header"/>
    <w:basedOn w:val="Normal"/>
    <w:semiHidden/>
    <w:rsid w:val="00BE1CFA"/>
    <w:pPr>
      <w:tabs>
        <w:tab w:val="center" w:pos="4320"/>
        <w:tab w:val="right" w:pos="8640"/>
      </w:tabs>
    </w:pPr>
  </w:style>
  <w:style w:type="paragraph" w:customStyle="1" w:styleId="BLMText">
    <w:name w:val="BLM Text"/>
    <w:link w:val="BLMTextChar1"/>
    <w:rsid w:val="00BE1CFA"/>
    <w:rPr>
      <w:rFonts w:ascii="Arial" w:hAnsi="Arial"/>
      <w:sz w:val="22"/>
      <w:szCs w:val="24"/>
      <w:lang w:eastAsia="en-US"/>
    </w:rPr>
  </w:style>
  <w:style w:type="paragraph" w:customStyle="1" w:styleId="DayTableTextwSpace">
    <w:name w:val="Day Table Text w/ Space"/>
    <w:autoRedefine/>
    <w:rsid w:val="00BE1CFA"/>
    <w:pPr>
      <w:spacing w:after="60"/>
    </w:pPr>
    <w:rPr>
      <w:szCs w:val="24"/>
      <w:lang w:eastAsia="en-US"/>
    </w:rPr>
  </w:style>
  <w:style w:type="character" w:customStyle="1" w:styleId="ActionChar">
    <w:name w:val="Action! Char"/>
    <w:basedOn w:val="DefaultParagraphFont"/>
    <w:link w:val="Action"/>
    <w:rsid w:val="00BE1CFA"/>
    <w:rPr>
      <w:rFonts w:ascii="Arial" w:hAnsi="Arial"/>
      <w:b/>
      <w:color w:val="FF0000"/>
      <w:szCs w:val="24"/>
      <w:lang w:val="en-CA" w:eastAsia="en-US" w:bidi="ar-SA"/>
    </w:rPr>
  </w:style>
  <w:style w:type="paragraph" w:customStyle="1" w:styleId="DayTableSubHeadspace">
    <w:name w:val="Day Table Sub Head/space"/>
    <w:basedOn w:val="DayTableSubHead"/>
    <w:rsid w:val="00BE1CFA"/>
    <w:pPr>
      <w:spacing w:before="120"/>
    </w:pPr>
  </w:style>
  <w:style w:type="character" w:customStyle="1" w:styleId="BLMTextChar1">
    <w:name w:val="BLM Text Char1"/>
    <w:basedOn w:val="DefaultParagraphFont"/>
    <w:link w:val="BLMText"/>
    <w:rsid w:val="00BE1CFA"/>
    <w:rPr>
      <w:rFonts w:ascii="Arial" w:hAnsi="Arial"/>
      <w:sz w:val="22"/>
      <w:szCs w:val="24"/>
      <w:lang w:val="en-CA" w:eastAsia="en-US" w:bidi="ar-SA"/>
    </w:rPr>
  </w:style>
  <w:style w:type="paragraph" w:customStyle="1" w:styleId="timetext">
    <w:name w:val="time text"/>
    <w:rsid w:val="00BE1CFA"/>
    <w:pPr>
      <w:spacing w:after="60"/>
      <w:jc w:val="center"/>
    </w:pPr>
    <w:rPr>
      <w:szCs w:val="24"/>
      <w:lang w:eastAsia="en-US"/>
    </w:rPr>
  </w:style>
  <w:style w:type="character" w:customStyle="1" w:styleId="MindsOnChar">
    <w:name w:val="Minds On… Char"/>
    <w:basedOn w:val="DefaultParagraphFont"/>
    <w:link w:val="MindsOn"/>
    <w:rsid w:val="00BE1CFA"/>
    <w:rPr>
      <w:rFonts w:ascii="Arial" w:hAnsi="Arial"/>
      <w:b/>
      <w:color w:val="669900"/>
      <w:szCs w:val="24"/>
      <w:lang w:val="en-CA" w:eastAsia="en-US" w:bidi="ar-SA"/>
    </w:rPr>
  </w:style>
  <w:style w:type="paragraph" w:customStyle="1" w:styleId="SideBarTexts">
    <w:name w:val="Side Bar Text #s"/>
    <w:rsid w:val="00BE1CFA"/>
    <w:pPr>
      <w:ind w:left="220" w:hanging="180"/>
    </w:pPr>
    <w:rPr>
      <w:rFonts w:ascii="Arial" w:hAnsi="Arial"/>
      <w:sz w:val="16"/>
      <w:szCs w:val="24"/>
      <w:lang w:eastAsia="en-US"/>
    </w:rPr>
  </w:style>
  <w:style w:type="character" w:customStyle="1" w:styleId="ConsolidateDebriefChar">
    <w:name w:val="Consolidate Debrief Char"/>
    <w:basedOn w:val="DefaultParagraphFont"/>
    <w:link w:val="ConsolidateDebrief"/>
    <w:rsid w:val="00BE1CFA"/>
    <w:rPr>
      <w:rFonts w:ascii="Arial" w:hAnsi="Arial"/>
      <w:b/>
      <w:color w:val="0000FF"/>
      <w:szCs w:val="24"/>
      <w:lang w:val="en-CA" w:eastAsia="en-US" w:bidi="ar-SA"/>
    </w:rPr>
  </w:style>
  <w:style w:type="paragraph" w:styleId="Footer">
    <w:name w:val="footer"/>
    <w:basedOn w:val="Normal"/>
    <w:rsid w:val="00E86664"/>
    <w:pPr>
      <w:tabs>
        <w:tab w:val="center" w:pos="4320"/>
        <w:tab w:val="right" w:pos="8640"/>
      </w:tabs>
    </w:pPr>
  </w:style>
  <w:style w:type="paragraph" w:customStyle="1" w:styleId="BLMTitle">
    <w:name w:val="BLM Title"/>
    <w:rsid w:val="00E86664"/>
    <w:rPr>
      <w:rFonts w:ascii="Arial" w:hAnsi="Arial"/>
      <w:b/>
      <w:color w:val="0000FF"/>
      <w:sz w:val="32"/>
      <w:szCs w:val="24"/>
      <w:lang w:eastAsia="en-US"/>
    </w:rPr>
  </w:style>
  <w:style w:type="table" w:styleId="TableGrid">
    <w:name w:val="Table Grid"/>
    <w:basedOn w:val="TableNormal"/>
    <w:rsid w:val="001061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FF0F9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4B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B1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://www.edugains.ca/resources/LearningMaterials/MathProcesses/GenericProcessesRubric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#: Day #: (Title)</vt:lpstr>
    </vt:vector>
  </TitlesOfParts>
  <Company>Government of Ontario</Company>
  <LinksUpToDate>false</LinksUpToDate>
  <CharactersWithSpaces>5300</CharactersWithSpaces>
  <SharedDoc>false</SharedDoc>
  <HLinks>
    <vt:vector size="6" baseType="variant">
      <vt:variant>
        <vt:i4>3080242</vt:i4>
      </vt:variant>
      <vt:variant>
        <vt:i4>0</vt:i4>
      </vt:variant>
      <vt:variant>
        <vt:i4>0</vt:i4>
      </vt:variant>
      <vt:variant>
        <vt:i4>5</vt:i4>
      </vt:variant>
      <vt:variant>
        <vt:lpwstr>http://www.edugains.ca/resources/LearningMaterials/MathProcesses/GenericProcessesRubric.doc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#: Day #: (Title)</dc:title>
  <dc:creator>Irvine,Jeff</dc:creator>
  <cp:lastModifiedBy>Kathy</cp:lastModifiedBy>
  <cp:revision>3</cp:revision>
  <dcterms:created xsi:type="dcterms:W3CDTF">2011-08-06T08:31:00Z</dcterms:created>
  <dcterms:modified xsi:type="dcterms:W3CDTF">2011-08-06T08:33:00Z</dcterms:modified>
</cp:coreProperties>
</file>